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B7E2670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7887002F" w14:textId="77777777" w:rsidR="00051B5D" w:rsidRDefault="00040F71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Část </w:t>
      </w:r>
      <w:r w:rsidR="006624D7">
        <w:rPr>
          <w:rFonts w:asciiTheme="minorHAnsi" w:hAnsiTheme="minorHAnsi" w:cstheme="minorBidi"/>
          <w:b/>
          <w:bCs/>
          <w:sz w:val="28"/>
          <w:szCs w:val="28"/>
        </w:rPr>
        <w:t>d</w:t>
      </w:r>
      <w:r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5F6F05DA" w14:textId="70012F78" w:rsidR="3069D67F" w:rsidRDefault="00040F71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3069D67F" w:rsidRPr="1B7E2670">
        <w:rPr>
          <w:rFonts w:asciiTheme="minorHAnsi" w:hAnsiTheme="minorHAnsi" w:cstheme="minorBidi"/>
          <w:b/>
          <w:bCs/>
          <w:sz w:val="28"/>
          <w:szCs w:val="28"/>
        </w:rPr>
        <w:t>Hydropedologick</w:t>
      </w:r>
      <w:r w:rsidR="00AA6F58">
        <w:rPr>
          <w:rFonts w:asciiTheme="minorHAnsi" w:hAnsiTheme="minorHAnsi" w:cstheme="minorBidi"/>
          <w:b/>
          <w:bCs/>
          <w:sz w:val="28"/>
          <w:szCs w:val="28"/>
        </w:rPr>
        <w:t>ý komunikátor</w:t>
      </w:r>
    </w:p>
    <w:p w14:paraId="7C2B816D" w14:textId="77777777" w:rsidR="000122C6" w:rsidRDefault="000122C6" w:rsidP="1B7E2670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6D2202D" w14:textId="07A0DC8E" w:rsidR="005C1469" w:rsidRDefault="00051B5D" w:rsidP="10AD6749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  <w:r w:rsidRPr="00051B5D">
        <w:rPr>
          <w:rFonts w:asciiTheme="minorHAnsi" w:hAnsiTheme="minorHAnsi" w:cstheme="minorBidi"/>
          <w:b/>
          <w:bCs/>
          <w:sz w:val="22"/>
          <w:szCs w:val="22"/>
        </w:rPr>
        <w:t xml:space="preserve">Veřejná zakázka je realizována v rámci projektu RUR – Region univerzitě, univerzita regionu, registrační číslo: CZ.10.02.01/00/22_002/0000210  </w:t>
      </w:r>
    </w:p>
    <w:p w14:paraId="299C63E5" w14:textId="1CD30BBE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C95424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5B7463" w:rsidRPr="00051B5D" w14:paraId="462257DB" w14:textId="77777777" w:rsidTr="4D30091B">
        <w:tc>
          <w:tcPr>
            <w:tcW w:w="6130" w:type="dxa"/>
            <w:vAlign w:val="center"/>
          </w:tcPr>
          <w:p w14:paraId="11D46339" w14:textId="0E32A5EE" w:rsidR="005B7463" w:rsidRPr="00051B5D" w:rsidRDefault="005B7463" w:rsidP="00C95424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1BEF4B24" w14:textId="58F0C656" w:rsidR="005B7463" w:rsidRPr="00051B5D" w:rsidRDefault="003E075B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Dodavatel uvede konkrétní technické parametry jím nabízeného z</w:t>
            </w:r>
            <w:r w:rsidR="00AE7774"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ařízení</w:t>
            </w:r>
          </w:p>
        </w:tc>
      </w:tr>
      <w:tr w:rsidR="005C42A0" w:rsidRPr="00051B5D" w14:paraId="40F7CF35" w14:textId="78F56C4D" w:rsidTr="00162628">
        <w:trPr>
          <w:trHeight w:val="300"/>
        </w:trPr>
        <w:tc>
          <w:tcPr>
            <w:tcW w:w="9918" w:type="dxa"/>
            <w:gridSpan w:val="2"/>
            <w:hideMark/>
          </w:tcPr>
          <w:p w14:paraId="7A48C9B2" w14:textId="40EED900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cyan"/>
              </w:rPr>
              <w:t>Hydropedologický k</w:t>
            </w: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cyan"/>
              </w:rPr>
              <w:t>omunikátor pro vrty s více senzory</w:t>
            </w: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(14ks)</w:t>
            </w:r>
          </w:p>
        </w:tc>
      </w:tr>
      <w:tr w:rsidR="00504B57" w:rsidRPr="00051B5D" w14:paraId="705E024B" w14:textId="556E9817" w:rsidTr="00F14AE4">
        <w:trPr>
          <w:trHeight w:val="300"/>
        </w:trPr>
        <w:tc>
          <w:tcPr>
            <w:tcW w:w="6130" w:type="dxa"/>
            <w:hideMark/>
          </w:tcPr>
          <w:p w14:paraId="7DD50642" w14:textId="00384F68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Komunikace v síti NB IoT, nastavitelná perioda komunikace min. od 1 až 60 min</w:t>
            </w:r>
          </w:p>
        </w:tc>
        <w:tc>
          <w:tcPr>
            <w:tcW w:w="3788" w:type="dxa"/>
            <w:shd w:val="clear" w:color="auto" w:fill="FFFF00"/>
          </w:tcPr>
          <w:p w14:paraId="0ECD8FE3" w14:textId="2980A97B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2721F81E" w14:textId="7F15AFA8" w:rsidTr="00F14AE4">
        <w:trPr>
          <w:trHeight w:val="300"/>
        </w:trPr>
        <w:tc>
          <w:tcPr>
            <w:tcW w:w="6130" w:type="dxa"/>
            <w:hideMark/>
          </w:tcPr>
          <w:p w14:paraId="618ADBE0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Adaptivní interval v závislosti na měřené hodnotě</w:t>
            </w:r>
          </w:p>
        </w:tc>
        <w:tc>
          <w:tcPr>
            <w:tcW w:w="3788" w:type="dxa"/>
            <w:shd w:val="clear" w:color="auto" w:fill="FFFF00"/>
          </w:tcPr>
          <w:p w14:paraId="7E00C912" w14:textId="0C27D139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5792081E" w14:textId="7F2EC048" w:rsidTr="00F14AE4">
        <w:trPr>
          <w:trHeight w:val="300"/>
        </w:trPr>
        <w:tc>
          <w:tcPr>
            <w:tcW w:w="6130" w:type="dxa"/>
            <w:hideMark/>
          </w:tcPr>
          <w:p w14:paraId="5D386546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Randomizace komunikace, ukládání neodeslaných dat do vnitřní paměti</w:t>
            </w:r>
          </w:p>
        </w:tc>
        <w:tc>
          <w:tcPr>
            <w:tcW w:w="3788" w:type="dxa"/>
            <w:shd w:val="clear" w:color="auto" w:fill="FFFF00"/>
          </w:tcPr>
          <w:p w14:paraId="3F937707" w14:textId="209AC58E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0F862846" w14:textId="174A1E8A" w:rsidTr="00F14AE4">
        <w:trPr>
          <w:trHeight w:val="300"/>
        </w:trPr>
        <w:tc>
          <w:tcPr>
            <w:tcW w:w="6130" w:type="dxa"/>
            <w:hideMark/>
          </w:tcPr>
          <w:p w14:paraId="184E5100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Řešení pro zabezpečení bezeztrátového přenosu i při ztrátě paketů nebo při delším výpadku operátora</w:t>
            </w:r>
          </w:p>
        </w:tc>
        <w:tc>
          <w:tcPr>
            <w:tcW w:w="3788" w:type="dxa"/>
            <w:shd w:val="clear" w:color="auto" w:fill="FFFF00"/>
          </w:tcPr>
          <w:p w14:paraId="11824331" w14:textId="13093FE4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75BF234A" w14:textId="4D5864F9" w:rsidTr="00F14AE4">
        <w:trPr>
          <w:trHeight w:val="300"/>
        </w:trPr>
        <w:tc>
          <w:tcPr>
            <w:tcW w:w="6130" w:type="dxa"/>
            <w:hideMark/>
          </w:tcPr>
          <w:p w14:paraId="28C3AC8B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Automatická synchronizace času</w:t>
            </w:r>
          </w:p>
        </w:tc>
        <w:tc>
          <w:tcPr>
            <w:tcW w:w="3788" w:type="dxa"/>
            <w:shd w:val="clear" w:color="auto" w:fill="FFFF00"/>
          </w:tcPr>
          <w:p w14:paraId="53268ACF" w14:textId="435479F5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317D66AD" w14:textId="08A805B0" w:rsidTr="00F14AE4">
        <w:trPr>
          <w:trHeight w:val="300"/>
        </w:trPr>
        <w:tc>
          <w:tcPr>
            <w:tcW w:w="6130" w:type="dxa"/>
            <w:hideMark/>
          </w:tcPr>
          <w:p w14:paraId="40B9C312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Předplacená komunikace na 9 let</w:t>
            </w:r>
          </w:p>
        </w:tc>
        <w:tc>
          <w:tcPr>
            <w:tcW w:w="3788" w:type="dxa"/>
            <w:shd w:val="clear" w:color="auto" w:fill="FFFF00"/>
          </w:tcPr>
          <w:p w14:paraId="30EEE64A" w14:textId="06166996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C42A0" w:rsidRPr="00051B5D" w14:paraId="421F6439" w14:textId="580564F2" w:rsidTr="00035361">
        <w:trPr>
          <w:trHeight w:val="300"/>
        </w:trPr>
        <w:tc>
          <w:tcPr>
            <w:tcW w:w="9918" w:type="dxa"/>
            <w:gridSpan w:val="2"/>
            <w:hideMark/>
          </w:tcPr>
          <w:p w14:paraId="61FE7D5D" w14:textId="0395135B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Rozhraní</w:t>
            </w:r>
          </w:p>
        </w:tc>
      </w:tr>
      <w:tr w:rsidR="00504B57" w:rsidRPr="00051B5D" w14:paraId="52F37C20" w14:textId="7B1C56BD" w:rsidTr="00F14AE4">
        <w:trPr>
          <w:trHeight w:val="300"/>
        </w:trPr>
        <w:tc>
          <w:tcPr>
            <w:tcW w:w="6130" w:type="dxa"/>
            <w:hideMark/>
          </w:tcPr>
          <w:p w14:paraId="4954BD6B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MODBUS RTU, SDI-12, I2C, BT, Analogové vstupy (min. 2)</w:t>
            </w:r>
          </w:p>
        </w:tc>
        <w:tc>
          <w:tcPr>
            <w:tcW w:w="3788" w:type="dxa"/>
            <w:shd w:val="clear" w:color="auto" w:fill="FFFF00"/>
          </w:tcPr>
          <w:p w14:paraId="09387777" w14:textId="5C55C503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76C69383" w14:textId="564BCBCC" w:rsidTr="00F14AE4">
        <w:trPr>
          <w:trHeight w:val="300"/>
        </w:trPr>
        <w:tc>
          <w:tcPr>
            <w:tcW w:w="6130" w:type="dxa"/>
            <w:hideMark/>
          </w:tcPr>
          <w:p w14:paraId="61EDB1B0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Binární vstupy (min. 2), Binární výstupy (min. 2), Relé (min. 2)</w:t>
            </w:r>
          </w:p>
        </w:tc>
        <w:tc>
          <w:tcPr>
            <w:tcW w:w="3788" w:type="dxa"/>
            <w:shd w:val="clear" w:color="auto" w:fill="FFFF00"/>
          </w:tcPr>
          <w:p w14:paraId="34D63A76" w14:textId="07057EBE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C42A0" w:rsidRPr="00051B5D" w14:paraId="55709B88" w14:textId="198D832E" w:rsidTr="00F26F43">
        <w:trPr>
          <w:trHeight w:val="300"/>
        </w:trPr>
        <w:tc>
          <w:tcPr>
            <w:tcW w:w="9918" w:type="dxa"/>
            <w:gridSpan w:val="2"/>
            <w:hideMark/>
          </w:tcPr>
          <w:p w14:paraId="64EE4C08" w14:textId="36EB5C17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Podpora pro senzory a aktory</w:t>
            </w:r>
          </w:p>
        </w:tc>
      </w:tr>
      <w:tr w:rsidR="00504B57" w:rsidRPr="00051B5D" w14:paraId="43D16CE4" w14:textId="24E7C452" w:rsidTr="00F14AE4">
        <w:trPr>
          <w:trHeight w:val="600"/>
        </w:trPr>
        <w:tc>
          <w:tcPr>
            <w:tcW w:w="6130" w:type="dxa"/>
            <w:hideMark/>
          </w:tcPr>
          <w:p w14:paraId="5C0B97F5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Senzory teploty, hladiny, konduktivity, zákalu, rozpuštěného kyslíku, redox potenciálu, ultrazvukové měření hladiny, anemometr, vlhkost vzduchu</w:t>
            </w:r>
          </w:p>
        </w:tc>
        <w:tc>
          <w:tcPr>
            <w:tcW w:w="3788" w:type="dxa"/>
            <w:shd w:val="clear" w:color="auto" w:fill="FFFF00"/>
          </w:tcPr>
          <w:p w14:paraId="6A634977" w14:textId="718AB8FF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67E27BEF" w14:textId="7E064599" w:rsidTr="00F14AE4">
        <w:trPr>
          <w:trHeight w:val="300"/>
        </w:trPr>
        <w:tc>
          <w:tcPr>
            <w:tcW w:w="6130" w:type="dxa"/>
            <w:hideMark/>
          </w:tcPr>
          <w:p w14:paraId="544B4D54" w14:textId="342F8FDD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Čítačové vstupy: srážkoměr, anemometr, průtokoměr</w:t>
            </w:r>
          </w:p>
        </w:tc>
        <w:tc>
          <w:tcPr>
            <w:tcW w:w="3788" w:type="dxa"/>
            <w:shd w:val="clear" w:color="auto" w:fill="FFFF00"/>
          </w:tcPr>
          <w:p w14:paraId="51A909F3" w14:textId="4F0526F4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447D0935" w14:textId="5CEF836C" w:rsidTr="00F14AE4">
        <w:trPr>
          <w:trHeight w:val="300"/>
        </w:trPr>
        <w:tc>
          <w:tcPr>
            <w:tcW w:w="6130" w:type="dxa"/>
            <w:hideMark/>
          </w:tcPr>
          <w:p w14:paraId="76B979A8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Analogové vstupy: anemometr, senzory s analogovým výstupem</w:t>
            </w:r>
          </w:p>
        </w:tc>
        <w:tc>
          <w:tcPr>
            <w:tcW w:w="3788" w:type="dxa"/>
            <w:shd w:val="clear" w:color="auto" w:fill="FFFF00"/>
          </w:tcPr>
          <w:p w14:paraId="6B919F66" w14:textId="2685EDEC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5543725F" w14:textId="4C9CEBBD" w:rsidTr="00F14AE4">
        <w:trPr>
          <w:trHeight w:val="300"/>
        </w:trPr>
        <w:tc>
          <w:tcPr>
            <w:tcW w:w="6130" w:type="dxa"/>
            <w:hideMark/>
          </w:tcPr>
          <w:p w14:paraId="0BD714BE" w14:textId="1FAEEA74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Silové výstupy: ovládání pohonů pro ventily a šoupata</w:t>
            </w:r>
          </w:p>
        </w:tc>
        <w:tc>
          <w:tcPr>
            <w:tcW w:w="3788" w:type="dxa"/>
            <w:shd w:val="clear" w:color="auto" w:fill="FFFF00"/>
          </w:tcPr>
          <w:p w14:paraId="3B0C89DA" w14:textId="343E1ECD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4636B8A4" w14:textId="6B114204" w:rsidTr="00F14AE4">
        <w:trPr>
          <w:trHeight w:val="300"/>
        </w:trPr>
        <w:tc>
          <w:tcPr>
            <w:tcW w:w="6130" w:type="dxa"/>
            <w:hideMark/>
          </w:tcPr>
          <w:p w14:paraId="17878CF1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BT modul (BLE) pro  budoucí možnost příjmu dat z BLE senzorů</w:t>
            </w:r>
          </w:p>
        </w:tc>
        <w:tc>
          <w:tcPr>
            <w:tcW w:w="3788" w:type="dxa"/>
            <w:shd w:val="clear" w:color="auto" w:fill="FFFF00"/>
          </w:tcPr>
          <w:p w14:paraId="101E7AC8" w14:textId="75FBA970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545BAF6C" w14:textId="7C5910B6" w:rsidTr="00F14AE4">
        <w:trPr>
          <w:trHeight w:val="300"/>
        </w:trPr>
        <w:tc>
          <w:tcPr>
            <w:tcW w:w="6130" w:type="dxa"/>
            <w:hideMark/>
          </w:tcPr>
          <w:p w14:paraId="3C56432B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Konfigurace lokální i vzdálená</w:t>
            </w:r>
          </w:p>
        </w:tc>
        <w:tc>
          <w:tcPr>
            <w:tcW w:w="3788" w:type="dxa"/>
            <w:shd w:val="clear" w:color="auto" w:fill="FFFF00"/>
          </w:tcPr>
          <w:p w14:paraId="7FE30FF2" w14:textId="3D394B1E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C42A0" w:rsidRPr="00051B5D" w14:paraId="4257C89B" w14:textId="44E7C49A" w:rsidTr="00827AFF">
        <w:trPr>
          <w:trHeight w:val="300"/>
        </w:trPr>
        <w:tc>
          <w:tcPr>
            <w:tcW w:w="9918" w:type="dxa"/>
            <w:gridSpan w:val="2"/>
            <w:hideMark/>
          </w:tcPr>
          <w:p w14:paraId="0A6E345F" w14:textId="43DA5452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Připojené senzory</w:t>
            </w:r>
          </w:p>
        </w:tc>
      </w:tr>
      <w:tr w:rsidR="00504B57" w:rsidRPr="00051B5D" w14:paraId="71F2F5DE" w14:textId="40DBCD9E" w:rsidTr="00F14AE4">
        <w:trPr>
          <w:trHeight w:val="300"/>
        </w:trPr>
        <w:tc>
          <w:tcPr>
            <w:tcW w:w="6130" w:type="dxa"/>
            <w:hideMark/>
          </w:tcPr>
          <w:p w14:paraId="3CB7CAFC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výška hladiny, teplota, konduktivita</w:t>
            </w:r>
          </w:p>
        </w:tc>
        <w:tc>
          <w:tcPr>
            <w:tcW w:w="3788" w:type="dxa"/>
            <w:shd w:val="clear" w:color="auto" w:fill="FFFF00"/>
          </w:tcPr>
          <w:p w14:paraId="4B6C0D93" w14:textId="6532629A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7919A090" w14:textId="0B519ED1" w:rsidTr="00F14AE4">
        <w:trPr>
          <w:trHeight w:val="300"/>
        </w:trPr>
        <w:tc>
          <w:tcPr>
            <w:tcW w:w="6130" w:type="dxa"/>
            <w:hideMark/>
          </w:tcPr>
          <w:p w14:paraId="10CF3B10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pH</w:t>
            </w:r>
          </w:p>
        </w:tc>
        <w:tc>
          <w:tcPr>
            <w:tcW w:w="3788" w:type="dxa"/>
            <w:shd w:val="clear" w:color="auto" w:fill="FFFF00"/>
          </w:tcPr>
          <w:p w14:paraId="5546664E" w14:textId="4F3BE35C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76D335B2" w14:textId="08CFA8E3" w:rsidTr="00F14AE4">
        <w:trPr>
          <w:trHeight w:val="300"/>
        </w:trPr>
        <w:tc>
          <w:tcPr>
            <w:tcW w:w="6130" w:type="dxa"/>
            <w:hideMark/>
          </w:tcPr>
          <w:p w14:paraId="6731A6A7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rozpuštěný kyslík</w:t>
            </w:r>
          </w:p>
        </w:tc>
        <w:tc>
          <w:tcPr>
            <w:tcW w:w="3788" w:type="dxa"/>
            <w:shd w:val="clear" w:color="auto" w:fill="FFFF00"/>
          </w:tcPr>
          <w:p w14:paraId="218ECB2F" w14:textId="69AD836D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225FC09A" w14:textId="7E157ED2" w:rsidTr="00F14AE4">
        <w:trPr>
          <w:trHeight w:val="300"/>
        </w:trPr>
        <w:tc>
          <w:tcPr>
            <w:tcW w:w="6130" w:type="dxa"/>
            <w:hideMark/>
          </w:tcPr>
          <w:p w14:paraId="1FBFF67C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Redox potenciál</w:t>
            </w:r>
          </w:p>
        </w:tc>
        <w:tc>
          <w:tcPr>
            <w:tcW w:w="3788" w:type="dxa"/>
            <w:shd w:val="clear" w:color="auto" w:fill="FFFF00"/>
          </w:tcPr>
          <w:p w14:paraId="19AF39B3" w14:textId="34B845C2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34912C09" w14:textId="724541CB" w:rsidTr="00F14AE4">
        <w:trPr>
          <w:trHeight w:val="300"/>
        </w:trPr>
        <w:tc>
          <w:tcPr>
            <w:tcW w:w="6130" w:type="dxa"/>
            <w:hideMark/>
          </w:tcPr>
          <w:p w14:paraId="4E6C8758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zákal</w:t>
            </w:r>
          </w:p>
        </w:tc>
        <w:tc>
          <w:tcPr>
            <w:tcW w:w="3788" w:type="dxa"/>
            <w:shd w:val="clear" w:color="auto" w:fill="FFFF00"/>
          </w:tcPr>
          <w:p w14:paraId="65FA0AAB" w14:textId="7BE9C9E8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C42A0" w:rsidRPr="00051B5D" w14:paraId="52CFF082" w14:textId="44784120" w:rsidTr="006D33A4">
        <w:trPr>
          <w:trHeight w:val="300"/>
        </w:trPr>
        <w:tc>
          <w:tcPr>
            <w:tcW w:w="9918" w:type="dxa"/>
            <w:gridSpan w:val="2"/>
            <w:hideMark/>
          </w:tcPr>
          <w:p w14:paraId="54673DE4" w14:textId="49BF1E35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Napájení</w:t>
            </w:r>
          </w:p>
        </w:tc>
      </w:tr>
      <w:tr w:rsidR="00504B57" w:rsidRPr="00051B5D" w14:paraId="5A4A6115" w14:textId="17BE48CB" w:rsidTr="00F14AE4">
        <w:trPr>
          <w:trHeight w:val="300"/>
        </w:trPr>
        <w:tc>
          <w:tcPr>
            <w:tcW w:w="6130" w:type="dxa"/>
            <w:hideMark/>
          </w:tcPr>
          <w:p w14:paraId="0E4A7A81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monitorování a přenášení stavu baterií nebo akumulátoru</w:t>
            </w:r>
          </w:p>
        </w:tc>
        <w:tc>
          <w:tcPr>
            <w:tcW w:w="3788" w:type="dxa"/>
            <w:shd w:val="clear" w:color="auto" w:fill="FFFF00"/>
          </w:tcPr>
          <w:p w14:paraId="79FB5BF9" w14:textId="3BF7F2DF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7D91F057" w14:textId="3B04638E" w:rsidTr="00F14AE4">
        <w:trPr>
          <w:trHeight w:val="300"/>
        </w:trPr>
        <w:tc>
          <w:tcPr>
            <w:tcW w:w="6130" w:type="dxa"/>
            <w:hideMark/>
          </w:tcPr>
          <w:p w14:paraId="727B41A3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akumulátor dobíjený FV panelem vč. konstrukce</w:t>
            </w:r>
          </w:p>
        </w:tc>
        <w:tc>
          <w:tcPr>
            <w:tcW w:w="3788" w:type="dxa"/>
            <w:shd w:val="clear" w:color="auto" w:fill="FFFF00"/>
          </w:tcPr>
          <w:p w14:paraId="326C216B" w14:textId="5C73B69B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C42A0" w:rsidRPr="00051B5D" w14:paraId="344FA7E2" w14:textId="52A3A832" w:rsidTr="009D24D9">
        <w:trPr>
          <w:trHeight w:val="300"/>
        </w:trPr>
        <w:tc>
          <w:tcPr>
            <w:tcW w:w="9918" w:type="dxa"/>
            <w:gridSpan w:val="2"/>
            <w:hideMark/>
          </w:tcPr>
          <w:p w14:paraId="6B786193" w14:textId="3263021F" w:rsidR="005C42A0" w:rsidRPr="00051B5D" w:rsidRDefault="005C42A0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51B5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Vizualizační prostředí</w:t>
            </w:r>
          </w:p>
        </w:tc>
      </w:tr>
      <w:tr w:rsidR="00504B57" w:rsidRPr="00051B5D" w14:paraId="608DD2BC" w14:textId="04443553" w:rsidTr="00F14AE4">
        <w:trPr>
          <w:trHeight w:val="300"/>
        </w:trPr>
        <w:tc>
          <w:tcPr>
            <w:tcW w:w="6130" w:type="dxa"/>
            <w:hideMark/>
          </w:tcPr>
          <w:p w14:paraId="6EE84AE3" w14:textId="77777777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webové řešení, možnost tvorby uživatelských výstupů, export do Excelu, API,  zobrazení komunikátoru nad mapou vč. ortofoto</w:t>
            </w:r>
          </w:p>
        </w:tc>
        <w:tc>
          <w:tcPr>
            <w:tcW w:w="3788" w:type="dxa"/>
            <w:shd w:val="clear" w:color="auto" w:fill="FFFF00"/>
          </w:tcPr>
          <w:p w14:paraId="47BE5A70" w14:textId="2F6314FB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4B57" w:rsidRPr="00051B5D" w14:paraId="43F8C117" w14:textId="6CA057BF" w:rsidTr="00F14AE4">
        <w:trPr>
          <w:trHeight w:val="300"/>
        </w:trPr>
        <w:tc>
          <w:tcPr>
            <w:tcW w:w="6130" w:type="dxa"/>
            <w:hideMark/>
          </w:tcPr>
          <w:p w14:paraId="3BDA6245" w14:textId="24D7FB2C" w:rsidR="00504B57" w:rsidRPr="00051B5D" w:rsidRDefault="00504B57" w:rsidP="009B048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Součástí dodá</w:t>
            </w:r>
            <w:r w:rsidR="00687605"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vky</w:t>
            </w:r>
            <w:r w:rsidRPr="00051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 propojení komunikátoru s příslušnými senzory</w:t>
            </w:r>
          </w:p>
        </w:tc>
        <w:tc>
          <w:tcPr>
            <w:tcW w:w="3788" w:type="dxa"/>
            <w:shd w:val="clear" w:color="auto" w:fill="FFFF00"/>
          </w:tcPr>
          <w:p w14:paraId="5E532B27" w14:textId="0FFD6B1F" w:rsidR="00504B57" w:rsidRPr="00051B5D" w:rsidRDefault="00504B57" w:rsidP="009B048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C8CCE21" w14:textId="77777777" w:rsidR="007838DD" w:rsidRPr="00210A9D" w:rsidRDefault="007838DD" w:rsidP="005C1469">
      <w:pPr>
        <w:rPr>
          <w:lang w:val="cs-CZ"/>
        </w:rPr>
      </w:pPr>
    </w:p>
    <w:sectPr w:rsidR="007838DD" w:rsidRPr="00210A9D" w:rsidSect="005C14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45F8" w14:textId="77777777" w:rsidR="00DA1E59" w:rsidRDefault="00DA1E59" w:rsidP="00926269">
      <w:r>
        <w:separator/>
      </w:r>
    </w:p>
  </w:endnote>
  <w:endnote w:type="continuationSeparator" w:id="0">
    <w:p w14:paraId="670FAA6E" w14:textId="77777777" w:rsidR="00DA1E59" w:rsidRDefault="00DA1E59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79" w14:textId="77777777" w:rsidR="00DE64E3" w:rsidRDefault="00DE6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5781" w14:textId="77777777" w:rsidR="00DE64E3" w:rsidRDefault="00DE64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E056" w14:textId="77777777" w:rsidR="00DE64E3" w:rsidRDefault="00DE6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E216" w14:textId="77777777" w:rsidR="00DA1E59" w:rsidRDefault="00DA1E59" w:rsidP="00926269">
      <w:r>
        <w:separator/>
      </w:r>
    </w:p>
  </w:footnote>
  <w:footnote w:type="continuationSeparator" w:id="0">
    <w:p w14:paraId="1B212C28" w14:textId="77777777" w:rsidR="00DA1E59" w:rsidRDefault="00DA1E59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0C28" w14:textId="77777777" w:rsidR="00DE64E3" w:rsidRDefault="00DE64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791F79D7" w:rsidR="00B5172B" w:rsidRDefault="00A33B3C" w:rsidP="00B5172B">
    <w:pPr>
      <w:pStyle w:val="Zhlav"/>
    </w:pPr>
    <w:r>
      <w:rPr>
        <w:noProof/>
      </w:rPr>
      <w:drawing>
        <wp:inline distT="0" distB="0" distL="0" distR="0" wp14:anchorId="43C3D204" wp14:editId="61FFEB0F">
          <wp:extent cx="5753098" cy="428625"/>
          <wp:effectExtent l="0" t="0" r="0" b="0"/>
          <wp:docPr id="689698560" name="Obrázek 689698560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01C7" w14:textId="77777777" w:rsidR="00DE64E3" w:rsidRDefault="00DE64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2188"/>
    <w:rsid w:val="000122C6"/>
    <w:rsid w:val="00032C9E"/>
    <w:rsid w:val="00040F71"/>
    <w:rsid w:val="00042A35"/>
    <w:rsid w:val="000470E3"/>
    <w:rsid w:val="00051B5D"/>
    <w:rsid w:val="00054D05"/>
    <w:rsid w:val="00061524"/>
    <w:rsid w:val="0007397B"/>
    <w:rsid w:val="00096AD9"/>
    <w:rsid w:val="000B074D"/>
    <w:rsid w:val="000B1979"/>
    <w:rsid w:val="000B4BA9"/>
    <w:rsid w:val="000C3A06"/>
    <w:rsid w:val="000C736A"/>
    <w:rsid w:val="000D717C"/>
    <w:rsid w:val="000E2897"/>
    <w:rsid w:val="00105387"/>
    <w:rsid w:val="0010677B"/>
    <w:rsid w:val="00111CD0"/>
    <w:rsid w:val="00122EB7"/>
    <w:rsid w:val="00137C76"/>
    <w:rsid w:val="00162221"/>
    <w:rsid w:val="00172C26"/>
    <w:rsid w:val="001852AB"/>
    <w:rsid w:val="00186B40"/>
    <w:rsid w:val="001B77BA"/>
    <w:rsid w:val="001C1459"/>
    <w:rsid w:val="001C16C4"/>
    <w:rsid w:val="001C24A4"/>
    <w:rsid w:val="001C656C"/>
    <w:rsid w:val="001D328C"/>
    <w:rsid w:val="001E2C80"/>
    <w:rsid w:val="001F2AC7"/>
    <w:rsid w:val="00204920"/>
    <w:rsid w:val="00207A45"/>
    <w:rsid w:val="00210A9D"/>
    <w:rsid w:val="002218D2"/>
    <w:rsid w:val="002278B3"/>
    <w:rsid w:val="00231E02"/>
    <w:rsid w:val="00234629"/>
    <w:rsid w:val="00235490"/>
    <w:rsid w:val="00241DD9"/>
    <w:rsid w:val="00252A93"/>
    <w:rsid w:val="002548A2"/>
    <w:rsid w:val="00254941"/>
    <w:rsid w:val="002549CA"/>
    <w:rsid w:val="00272ED5"/>
    <w:rsid w:val="0027327D"/>
    <w:rsid w:val="002857E7"/>
    <w:rsid w:val="002A6C18"/>
    <w:rsid w:val="003057EA"/>
    <w:rsid w:val="0030601B"/>
    <w:rsid w:val="00322BCF"/>
    <w:rsid w:val="00333A18"/>
    <w:rsid w:val="00334AC9"/>
    <w:rsid w:val="00340955"/>
    <w:rsid w:val="00351A24"/>
    <w:rsid w:val="00353985"/>
    <w:rsid w:val="00367EB3"/>
    <w:rsid w:val="0038430C"/>
    <w:rsid w:val="0039337D"/>
    <w:rsid w:val="003A4300"/>
    <w:rsid w:val="003B47E1"/>
    <w:rsid w:val="003D2143"/>
    <w:rsid w:val="003D608D"/>
    <w:rsid w:val="003E075B"/>
    <w:rsid w:val="003E11A9"/>
    <w:rsid w:val="003E4F43"/>
    <w:rsid w:val="003E6C9F"/>
    <w:rsid w:val="00412600"/>
    <w:rsid w:val="00423E7B"/>
    <w:rsid w:val="00424317"/>
    <w:rsid w:val="00425EF4"/>
    <w:rsid w:val="004422A2"/>
    <w:rsid w:val="00444364"/>
    <w:rsid w:val="00446777"/>
    <w:rsid w:val="004603E4"/>
    <w:rsid w:val="00461BDA"/>
    <w:rsid w:val="00465F06"/>
    <w:rsid w:val="00475D6F"/>
    <w:rsid w:val="004848E9"/>
    <w:rsid w:val="004C3E71"/>
    <w:rsid w:val="004C7658"/>
    <w:rsid w:val="004D1A73"/>
    <w:rsid w:val="00504B57"/>
    <w:rsid w:val="00506CDC"/>
    <w:rsid w:val="005159CA"/>
    <w:rsid w:val="00533644"/>
    <w:rsid w:val="0054349A"/>
    <w:rsid w:val="0054439A"/>
    <w:rsid w:val="005651C1"/>
    <w:rsid w:val="005711A1"/>
    <w:rsid w:val="0057564A"/>
    <w:rsid w:val="00584073"/>
    <w:rsid w:val="00585D22"/>
    <w:rsid w:val="005963E5"/>
    <w:rsid w:val="005B7463"/>
    <w:rsid w:val="005C1469"/>
    <w:rsid w:val="005C42A0"/>
    <w:rsid w:val="005C7EB1"/>
    <w:rsid w:val="005D4F6C"/>
    <w:rsid w:val="005E1D01"/>
    <w:rsid w:val="005F1A4C"/>
    <w:rsid w:val="00616443"/>
    <w:rsid w:val="00623187"/>
    <w:rsid w:val="00630FCC"/>
    <w:rsid w:val="00637F13"/>
    <w:rsid w:val="006436E1"/>
    <w:rsid w:val="0066196B"/>
    <w:rsid w:val="006624D7"/>
    <w:rsid w:val="00663A6E"/>
    <w:rsid w:val="006650A3"/>
    <w:rsid w:val="00671925"/>
    <w:rsid w:val="00671CB0"/>
    <w:rsid w:val="00687605"/>
    <w:rsid w:val="006A20B0"/>
    <w:rsid w:val="006A3352"/>
    <w:rsid w:val="006A773C"/>
    <w:rsid w:val="006C096A"/>
    <w:rsid w:val="006C5704"/>
    <w:rsid w:val="006D5FE8"/>
    <w:rsid w:val="006E449C"/>
    <w:rsid w:val="006F15DF"/>
    <w:rsid w:val="006F213B"/>
    <w:rsid w:val="006F22D3"/>
    <w:rsid w:val="006F3FC9"/>
    <w:rsid w:val="006F7F8B"/>
    <w:rsid w:val="00715D1F"/>
    <w:rsid w:val="00721B36"/>
    <w:rsid w:val="007252BE"/>
    <w:rsid w:val="007424AB"/>
    <w:rsid w:val="00743B28"/>
    <w:rsid w:val="007575EB"/>
    <w:rsid w:val="00760974"/>
    <w:rsid w:val="007773A3"/>
    <w:rsid w:val="007838DD"/>
    <w:rsid w:val="007C33B7"/>
    <w:rsid w:val="007D62E8"/>
    <w:rsid w:val="008000D0"/>
    <w:rsid w:val="008144BD"/>
    <w:rsid w:val="00814798"/>
    <w:rsid w:val="008217B8"/>
    <w:rsid w:val="00832723"/>
    <w:rsid w:val="008352DF"/>
    <w:rsid w:val="008368E7"/>
    <w:rsid w:val="00860918"/>
    <w:rsid w:val="008703D1"/>
    <w:rsid w:val="008845FE"/>
    <w:rsid w:val="0089389C"/>
    <w:rsid w:val="008A2CDF"/>
    <w:rsid w:val="008A4CC3"/>
    <w:rsid w:val="008B46F9"/>
    <w:rsid w:val="008C7BD1"/>
    <w:rsid w:val="008D0CD6"/>
    <w:rsid w:val="008F59F0"/>
    <w:rsid w:val="00922203"/>
    <w:rsid w:val="00926269"/>
    <w:rsid w:val="00927E96"/>
    <w:rsid w:val="0094143D"/>
    <w:rsid w:val="0094567B"/>
    <w:rsid w:val="009460D0"/>
    <w:rsid w:val="00947985"/>
    <w:rsid w:val="009527D8"/>
    <w:rsid w:val="00972ECC"/>
    <w:rsid w:val="00980555"/>
    <w:rsid w:val="00986669"/>
    <w:rsid w:val="00992BBE"/>
    <w:rsid w:val="009A1D23"/>
    <w:rsid w:val="009A707B"/>
    <w:rsid w:val="009B0487"/>
    <w:rsid w:val="009B4263"/>
    <w:rsid w:val="009B4715"/>
    <w:rsid w:val="009F50A4"/>
    <w:rsid w:val="00A05149"/>
    <w:rsid w:val="00A05F46"/>
    <w:rsid w:val="00A21C76"/>
    <w:rsid w:val="00A21D0A"/>
    <w:rsid w:val="00A33B3C"/>
    <w:rsid w:val="00A41F1D"/>
    <w:rsid w:val="00A4371B"/>
    <w:rsid w:val="00A5396C"/>
    <w:rsid w:val="00A60A67"/>
    <w:rsid w:val="00A66E38"/>
    <w:rsid w:val="00A67097"/>
    <w:rsid w:val="00A70BEE"/>
    <w:rsid w:val="00A77140"/>
    <w:rsid w:val="00A822B9"/>
    <w:rsid w:val="00A84D7D"/>
    <w:rsid w:val="00A96D6B"/>
    <w:rsid w:val="00AA6F58"/>
    <w:rsid w:val="00AC5D1B"/>
    <w:rsid w:val="00AD12AB"/>
    <w:rsid w:val="00AD54AF"/>
    <w:rsid w:val="00AD790A"/>
    <w:rsid w:val="00AE7774"/>
    <w:rsid w:val="00AE7DDD"/>
    <w:rsid w:val="00B0310D"/>
    <w:rsid w:val="00B15977"/>
    <w:rsid w:val="00B20F2D"/>
    <w:rsid w:val="00B236C9"/>
    <w:rsid w:val="00B254AD"/>
    <w:rsid w:val="00B4494E"/>
    <w:rsid w:val="00B465D1"/>
    <w:rsid w:val="00B4696E"/>
    <w:rsid w:val="00B51466"/>
    <w:rsid w:val="00B5172B"/>
    <w:rsid w:val="00B55DBA"/>
    <w:rsid w:val="00B65577"/>
    <w:rsid w:val="00B65857"/>
    <w:rsid w:val="00B77A6A"/>
    <w:rsid w:val="00B80901"/>
    <w:rsid w:val="00BB608B"/>
    <w:rsid w:val="00BD1965"/>
    <w:rsid w:val="00BE08BF"/>
    <w:rsid w:val="00BE275E"/>
    <w:rsid w:val="00BF3453"/>
    <w:rsid w:val="00C000DE"/>
    <w:rsid w:val="00C06DD4"/>
    <w:rsid w:val="00C147CF"/>
    <w:rsid w:val="00C20390"/>
    <w:rsid w:val="00C25EE8"/>
    <w:rsid w:val="00C41740"/>
    <w:rsid w:val="00C419A0"/>
    <w:rsid w:val="00C615E6"/>
    <w:rsid w:val="00C62410"/>
    <w:rsid w:val="00C71670"/>
    <w:rsid w:val="00C86F2A"/>
    <w:rsid w:val="00C9403A"/>
    <w:rsid w:val="00C95424"/>
    <w:rsid w:val="00C956F8"/>
    <w:rsid w:val="00CA1203"/>
    <w:rsid w:val="00CA361D"/>
    <w:rsid w:val="00CB53AC"/>
    <w:rsid w:val="00D1304D"/>
    <w:rsid w:val="00D170A3"/>
    <w:rsid w:val="00D228FA"/>
    <w:rsid w:val="00D27D58"/>
    <w:rsid w:val="00D351FC"/>
    <w:rsid w:val="00D452F1"/>
    <w:rsid w:val="00D5002E"/>
    <w:rsid w:val="00D57A45"/>
    <w:rsid w:val="00D663B4"/>
    <w:rsid w:val="00D67940"/>
    <w:rsid w:val="00D7363B"/>
    <w:rsid w:val="00D81D89"/>
    <w:rsid w:val="00D84D26"/>
    <w:rsid w:val="00D87268"/>
    <w:rsid w:val="00D915EF"/>
    <w:rsid w:val="00DA1E59"/>
    <w:rsid w:val="00DA5568"/>
    <w:rsid w:val="00DB25DF"/>
    <w:rsid w:val="00DC6131"/>
    <w:rsid w:val="00DE64E3"/>
    <w:rsid w:val="00DF552D"/>
    <w:rsid w:val="00E02AA8"/>
    <w:rsid w:val="00E03C3A"/>
    <w:rsid w:val="00E11B0B"/>
    <w:rsid w:val="00E138D1"/>
    <w:rsid w:val="00E34C9F"/>
    <w:rsid w:val="00E4246E"/>
    <w:rsid w:val="00E42B05"/>
    <w:rsid w:val="00E44AEE"/>
    <w:rsid w:val="00E45004"/>
    <w:rsid w:val="00E53F70"/>
    <w:rsid w:val="00E625D4"/>
    <w:rsid w:val="00E83218"/>
    <w:rsid w:val="00E868FE"/>
    <w:rsid w:val="00E91845"/>
    <w:rsid w:val="00EA01D6"/>
    <w:rsid w:val="00EA5045"/>
    <w:rsid w:val="00EA72EC"/>
    <w:rsid w:val="00EB7241"/>
    <w:rsid w:val="00EE5821"/>
    <w:rsid w:val="00F36D9A"/>
    <w:rsid w:val="00F539FA"/>
    <w:rsid w:val="00F53FFA"/>
    <w:rsid w:val="00F5607F"/>
    <w:rsid w:val="00F74CF4"/>
    <w:rsid w:val="00F76D3E"/>
    <w:rsid w:val="00F931E9"/>
    <w:rsid w:val="00FA76A2"/>
    <w:rsid w:val="00FC70CA"/>
    <w:rsid w:val="04EDE8E6"/>
    <w:rsid w:val="10AD6749"/>
    <w:rsid w:val="12838956"/>
    <w:rsid w:val="1B7E2670"/>
    <w:rsid w:val="277A739A"/>
    <w:rsid w:val="2D1B29FC"/>
    <w:rsid w:val="303751B5"/>
    <w:rsid w:val="3069D67F"/>
    <w:rsid w:val="3C7A1E3B"/>
    <w:rsid w:val="424951FA"/>
    <w:rsid w:val="43A87CD0"/>
    <w:rsid w:val="46E01D92"/>
    <w:rsid w:val="494E9B03"/>
    <w:rsid w:val="4D30091B"/>
    <w:rsid w:val="6177BE38"/>
    <w:rsid w:val="6A19A2B4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9BFA5-9B52-42A2-8411-97C41A1C0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F0C8E-7733-4733-9D19-98AF2A033A3B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aeb965-9b51-40e0-a0a0-2c0f46888b01"/>
    <ds:schemaRef ds:uri="http://purl.org/dc/elements/1.1/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C0F119D-8EE3-49B0-A253-CEDA4FDBD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2025-08-13T08:23:00Z</dcterms:created>
  <dcterms:modified xsi:type="dcterms:W3CDTF">2025-08-13T08:23:00Z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ee5edd4bf3a51938989947b67fc91b3308237bc2d33211c80fe4c4a53ad88370</vt:lpwstr>
  </property>
  <property fmtid="{D5CDD505-2E9C-101B-9397-08002B2CF9AE}" pid="4" name="MediaServiceImageTags">
    <vt:lpwstr/>
  </property>
</Properties>
</file>