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5E307A" w:rsidRPr="005E307A">
        <w:rPr>
          <w:rFonts w:ascii="Calibri" w:hAnsi="Calibri"/>
          <w:b/>
          <w:sz w:val="22"/>
          <w:szCs w:val="22"/>
        </w:rPr>
        <w:t>Laboratorní gravitační separační stůl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5E307A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  <w:bookmarkStart w:id="1" w:name="_GoBack"/>
      <w:bookmarkEnd w:id="0"/>
      <w:bookmarkEnd w:id="1"/>
    </w:p>
    <w:p w:rsidR="00B162FB" w:rsidRDefault="00B162FB"/>
    <w:sectPr w:rsidR="00B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483268"/>
    <w:rsid w:val="005E307A"/>
    <w:rsid w:val="00764234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2</cp:revision>
  <dcterms:created xsi:type="dcterms:W3CDTF">2018-10-30T09:08:00Z</dcterms:created>
  <dcterms:modified xsi:type="dcterms:W3CDTF">2019-03-14T09:58:00Z</dcterms:modified>
</cp:coreProperties>
</file>