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6545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6545C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1CFD7EAB" w:rsidR="00752B2E" w:rsidRPr="00230391" w:rsidRDefault="00230391" w:rsidP="00D469F5">
      <w:pPr>
        <w:pStyle w:val="Zpat"/>
        <w:jc w:val="center"/>
        <w:rPr>
          <w:rFonts w:ascii="Calibri" w:hAnsi="Calibri" w:cs="Calibri"/>
          <w:b/>
          <w:iCs/>
        </w:rPr>
      </w:pPr>
      <w:bookmarkStart w:id="0" w:name="_Hlk65166296"/>
      <w:r w:rsidRPr="00230391">
        <w:rPr>
          <w:rFonts w:ascii="Calibri" w:hAnsi="Calibri" w:cs="Calibri"/>
          <w:b/>
          <w:iCs/>
          <w:sz w:val="22"/>
          <w:szCs w:val="22"/>
        </w:rPr>
        <w:t xml:space="preserve">Část </w:t>
      </w:r>
      <w:r w:rsidR="001C44A9">
        <w:rPr>
          <w:rFonts w:ascii="Calibri" w:hAnsi="Calibri" w:cs="Calibri"/>
          <w:b/>
          <w:iCs/>
          <w:sz w:val="22"/>
          <w:szCs w:val="22"/>
        </w:rPr>
        <w:t>a)</w:t>
      </w:r>
      <w:r w:rsidRPr="00230391">
        <w:rPr>
          <w:rFonts w:ascii="Calibri" w:hAnsi="Calibri" w:cs="Calibri"/>
          <w:b/>
          <w:iCs/>
          <w:sz w:val="22"/>
          <w:szCs w:val="22"/>
        </w:rPr>
        <w:t>: ICP-OES spektrometr</w:t>
      </w:r>
    </w:p>
    <w:p w14:paraId="2CC7BB13" w14:textId="77777777" w:rsidR="00F5626E" w:rsidRPr="0016545C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07775AC4" w14:textId="2CE668EC" w:rsidR="00304F95" w:rsidRDefault="00752B2E" w:rsidP="005312A0">
      <w:pPr>
        <w:spacing w:before="120"/>
        <w:jc w:val="both"/>
        <w:rPr>
          <w:lang w:val="cs-CZ"/>
        </w:rPr>
      </w:pP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411B94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BD5CD7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221377ED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77777777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5E623E" w:rsidRPr="00FD4887" w14:paraId="149EBCA8" w14:textId="77777777" w:rsidTr="0064240F">
        <w:trPr>
          <w:trHeight w:val="175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5E623E" w:rsidRPr="0064240F" w:rsidRDefault="005E623E" w:rsidP="000069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6424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2E49B5A5" w:rsidR="005E623E" w:rsidRPr="00F14F62" w:rsidRDefault="00E37F37" w:rsidP="00230391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  <w:t xml:space="preserve"> Účastník doplní konkrétní technické parametry nebízeného předmětu plnění</w:t>
            </w:r>
            <w:r w:rsidR="006D549F" w:rsidRPr="00F14F6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230391" w:rsidRPr="0064240F" w14:paraId="166F2EBE" w14:textId="77777777" w:rsidTr="008F5845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F3775" w14:textId="7A014608" w:rsidR="00230391" w:rsidRPr="0064240F" w:rsidRDefault="00230391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EC00B7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ovinné parametry zařízení:</w:t>
            </w:r>
          </w:p>
        </w:tc>
      </w:tr>
      <w:tr w:rsidR="00230391" w:rsidRPr="0064240F" w14:paraId="368F958A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B738" w14:textId="087419B5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>Konstrukce přístroje k umístění na pracovní stůl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B5EE9B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69749A55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62D0" w14:textId="690AE8C1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>Umístění všech servisních přípojek na boční nebo přední straně přístroje, což umožňuje plný přístup ke všem potřebným součástem pro údržbu přístroje bez nutnosti přístroj odtahovat od stěny.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57DBAC3D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23672" w14:textId="5CCA4FFC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 xml:space="preserve">Rozměry spektrometru včetně vyčnívajících částí </w:t>
            </w:r>
            <w:r w:rsidR="000D5C24">
              <w:rPr>
                <w:rFonts w:ascii="Calibri" w:hAnsi="Calibri" w:cs="Calibri"/>
                <w:sz w:val="22"/>
                <w:szCs w:val="22"/>
              </w:rPr>
              <w:t xml:space="preserve">musí </w:t>
            </w:r>
            <w:r w:rsidR="00DD056E">
              <w:rPr>
                <w:rFonts w:ascii="Calibri" w:hAnsi="Calibri" w:cs="Calibri"/>
                <w:sz w:val="22"/>
                <w:szCs w:val="22"/>
              </w:rPr>
              <w:t>mít</w:t>
            </w:r>
            <w:r w:rsidR="000D5C24">
              <w:rPr>
                <w:rFonts w:ascii="Calibri" w:hAnsi="Calibri" w:cs="Calibri"/>
                <w:sz w:val="22"/>
                <w:szCs w:val="22"/>
              </w:rPr>
              <w:t xml:space="preserve"> maximálně</w:t>
            </w:r>
            <w:r w:rsidRPr="00EC00B7">
              <w:rPr>
                <w:rFonts w:ascii="Calibri" w:hAnsi="Calibri" w:cs="Calibri"/>
                <w:sz w:val="22"/>
                <w:szCs w:val="22"/>
              </w:rPr>
              <w:t xml:space="preserve"> šířku 620 mm a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EC00B7">
              <w:rPr>
                <w:rFonts w:ascii="Calibri" w:hAnsi="Calibri" w:cs="Calibri"/>
                <w:sz w:val="22"/>
                <w:szCs w:val="22"/>
              </w:rPr>
              <w:t>hloubku 700 mm.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39F786C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31698011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664A" w14:textId="2C890E2C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>Spektrometr musí být připojen do elektrické sítě na 200 – 240 V.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F80876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27BEC3DA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6DC5" w14:textId="26211688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 xml:space="preserve">Doba spuštění ze stand-by režimu do prvního stabilního měření </w:t>
            </w:r>
            <w:r w:rsidR="00DD056E">
              <w:rPr>
                <w:rFonts w:ascii="Calibri" w:hAnsi="Calibri" w:cs="Calibri"/>
                <w:sz w:val="22"/>
                <w:szCs w:val="22"/>
              </w:rPr>
              <w:t xml:space="preserve">nesmí </w:t>
            </w:r>
            <w:r w:rsidRPr="00EC00B7">
              <w:rPr>
                <w:rFonts w:ascii="Calibri" w:hAnsi="Calibri" w:cs="Calibri"/>
                <w:sz w:val="22"/>
                <w:szCs w:val="22"/>
              </w:rPr>
              <w:t>přesáhn</w:t>
            </w:r>
            <w:r w:rsidR="00DD056E">
              <w:rPr>
                <w:rFonts w:ascii="Calibri" w:hAnsi="Calibri" w:cs="Calibri"/>
                <w:sz w:val="22"/>
                <w:szCs w:val="22"/>
              </w:rPr>
              <w:t>out</w:t>
            </w:r>
            <w:r w:rsidRPr="00EC00B7">
              <w:rPr>
                <w:rFonts w:ascii="Calibri" w:hAnsi="Calibri" w:cs="Calibri"/>
                <w:sz w:val="22"/>
                <w:szCs w:val="22"/>
              </w:rPr>
              <w:t xml:space="preserve"> 5 minut.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A2F5DC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54830B3B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8C4BA" w14:textId="6CE61BF8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Hořák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musí</w:t>
            </w:r>
            <w:r w:rsidRPr="00EC00B7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být schopen samolokace, aby se minimalizovala potřeba seřízení hořáku při opětovné instalaci po běžném čištění. Sestava hořáku musí být rovněž vybavena funkcí automatického připojení plynů bez nutnosti uživatelského zásahu.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7EFC5C6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6137810D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561E7" w14:textId="1E189AC6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>Měření v módech s axiálním pohledem a radiálním pohledem</w:t>
            </w:r>
            <w:r w:rsidR="007D7F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C993CA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56CE40CC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3DFF0" w14:textId="736D29B4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 xml:space="preserve">Systém s duálním zobrazením musí mít vertikálně umístěný hořák.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6D2FA04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265D9C96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B5B3" w14:textId="5E6A265D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>Ověření optimálních parametrů plazmy pomocí automatické kontroly výkonu. Pokud nejsou kritéria splněna, provede se automatické doladění parametrů zdroje. M</w:t>
            </w:r>
            <w:r w:rsidR="009C5F0B">
              <w:rPr>
                <w:rFonts w:ascii="Calibri" w:hAnsi="Calibri" w:cs="Calibri"/>
                <w:sz w:val="22"/>
                <w:szCs w:val="22"/>
              </w:rPr>
              <w:t>usí být</w:t>
            </w:r>
            <w:r w:rsidRPr="00EC00B7">
              <w:rPr>
                <w:rFonts w:ascii="Calibri" w:hAnsi="Calibri" w:cs="Calibri"/>
                <w:sz w:val="22"/>
                <w:szCs w:val="22"/>
              </w:rPr>
              <w:t xml:space="preserve"> k dispozici proces zapnutí plazmatu a provedení optimalizačních postupů jedním kliknutím.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D6853A3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026A75F6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62B45" w14:textId="603D2DDF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Indukční cívka </w:t>
            </w:r>
            <w:r w:rsidR="00D4029A">
              <w:rPr>
                <w:rFonts w:ascii="Calibri" w:hAnsi="Calibri" w:cs="Calibri"/>
                <w:sz w:val="22"/>
                <w:szCs w:val="22"/>
              </w:rPr>
              <w:t>musí být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vodou chlazená a potažena polymerem </w:t>
            </w:r>
            <w:r w:rsidR="007B18C0">
              <w:rPr>
                <w:rFonts w:ascii="Calibri" w:hAnsi="Calibri" w:cs="Calibri"/>
                <w:sz w:val="22"/>
                <w:szCs w:val="22"/>
              </w:rPr>
              <w:t xml:space="preserve"> s životností alespoň 5 let </w:t>
            </w:r>
            <w:r>
              <w:rPr>
                <w:rFonts w:ascii="Calibri" w:hAnsi="Calibri" w:cs="Calibri"/>
                <w:sz w:val="22"/>
                <w:szCs w:val="22"/>
              </w:rPr>
              <w:t>bez nutnosti výměny</w:t>
            </w:r>
            <w:r w:rsidR="007D7F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EB6B5D5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789D26CB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EA159" w14:textId="6F01BAD1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>Systém pro zavádění vzorků ICP musí obsahovat plně integrovaný drain senzor, který umožňuje bezpečné automatické vypnutí plazmy v případě ucpání kapalinového potrubí nebo odpojení hadičky čerpadla.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F0BD5B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354F9B3D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46BEE" w14:textId="5B83F748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 xml:space="preserve">Využití 4kanálového peristaltického čerpadla s nastavitelnou rychlostí </w:t>
            </w:r>
            <w:r w:rsidR="007B18C0">
              <w:rPr>
                <w:rFonts w:ascii="Calibri" w:hAnsi="Calibri" w:cs="Calibri"/>
                <w:sz w:val="22"/>
                <w:szCs w:val="22"/>
              </w:rPr>
              <w:t xml:space="preserve">minimálně </w:t>
            </w:r>
            <w:r w:rsidRPr="00EC00B7">
              <w:rPr>
                <w:rFonts w:ascii="Calibri" w:hAnsi="Calibri" w:cs="Calibri"/>
                <w:sz w:val="22"/>
                <w:szCs w:val="22"/>
              </w:rPr>
              <w:t>v rozmezí 0 až 125 otáček za minutu.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72D70DD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7AD5EB33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9311C" w14:textId="48620736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>Výstupní výkon RF generátoru nastavitelný</w:t>
            </w:r>
            <w:r w:rsidR="007B18C0">
              <w:rPr>
                <w:rFonts w:ascii="Calibri" w:hAnsi="Calibri" w:cs="Calibri"/>
                <w:sz w:val="22"/>
                <w:szCs w:val="22"/>
              </w:rPr>
              <w:t xml:space="preserve"> minimálně </w:t>
            </w:r>
            <w:r w:rsidRPr="00EC00B7">
              <w:rPr>
                <w:rFonts w:ascii="Calibri" w:hAnsi="Calibri" w:cs="Calibri"/>
                <w:sz w:val="22"/>
                <w:szCs w:val="22"/>
              </w:rPr>
              <w:t xml:space="preserve"> v rozmezí 750 až 1600 W.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8DF3FC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1DBB85BE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ED9F" w14:textId="1B216326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 xml:space="preserve">Plazmový zdroj se </w:t>
            </w:r>
            <w:r w:rsidR="0073453C">
              <w:rPr>
                <w:rFonts w:ascii="Calibri" w:hAnsi="Calibri" w:cs="Calibri"/>
                <w:sz w:val="22"/>
                <w:szCs w:val="22"/>
              </w:rPr>
              <w:t xml:space="preserve">musí </w:t>
            </w:r>
            <w:r w:rsidRPr="00EC00B7">
              <w:rPr>
                <w:rFonts w:ascii="Calibri" w:hAnsi="Calibri" w:cs="Calibri"/>
                <w:sz w:val="22"/>
                <w:szCs w:val="22"/>
              </w:rPr>
              <w:t>sklád</w:t>
            </w:r>
            <w:r w:rsidR="0073453C">
              <w:rPr>
                <w:rFonts w:ascii="Calibri" w:hAnsi="Calibri" w:cs="Calibri"/>
                <w:sz w:val="22"/>
                <w:szCs w:val="22"/>
              </w:rPr>
              <w:t>at</w:t>
            </w:r>
            <w:r w:rsidRPr="00EC00B7">
              <w:rPr>
                <w:rFonts w:ascii="Calibri" w:hAnsi="Calibri" w:cs="Calibri"/>
                <w:sz w:val="22"/>
                <w:szCs w:val="22"/>
              </w:rPr>
              <w:t xml:space="preserve"> z integrovaného, vodou chlazeného, digitálního polovodičového RF generátoru o</w:t>
            </w:r>
            <w:r w:rsidR="007B18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C00B7">
              <w:rPr>
                <w:rFonts w:ascii="Calibri" w:hAnsi="Calibri" w:cs="Calibri"/>
                <w:sz w:val="22"/>
                <w:szCs w:val="22"/>
              </w:rPr>
              <w:t xml:space="preserve">frekvenci </w:t>
            </w:r>
            <w:r w:rsidR="008C41F0">
              <w:rPr>
                <w:rFonts w:ascii="Calibri" w:hAnsi="Calibri" w:cs="Calibri"/>
                <w:sz w:val="22"/>
                <w:szCs w:val="22"/>
              </w:rPr>
              <w:t xml:space="preserve">větší nebo rovné </w:t>
            </w:r>
            <w:r w:rsidRPr="00EC00B7">
              <w:rPr>
                <w:rFonts w:ascii="Calibri" w:hAnsi="Calibri" w:cs="Calibri"/>
                <w:sz w:val="22"/>
                <w:szCs w:val="22"/>
              </w:rPr>
              <w:t>~27 MHz s rychlým, dynamickým přizpůsobením frekvence.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1719706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30C3F6B0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65D90" w14:textId="58FB7C0D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lastRenderedPageBreak/>
              <w:t>Simultánní měření vlnových délek analytu, pozadí a vnitřního standardu musí být pomocí jednoho detektoru.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B002CCF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22AAD554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9D903" w14:textId="6984F45C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>Průtok nebulizačního plynu řízený MFC</w:t>
            </w:r>
            <w:r w:rsidR="007B18C0">
              <w:rPr>
                <w:rFonts w:ascii="Calibri" w:hAnsi="Calibri" w:cs="Calibri"/>
                <w:sz w:val="22"/>
                <w:szCs w:val="22"/>
              </w:rPr>
              <w:t xml:space="preserve"> (mass flow controler)</w:t>
            </w:r>
            <w:r w:rsidRPr="00EC00B7">
              <w:rPr>
                <w:rFonts w:ascii="Calibri" w:hAnsi="Calibri" w:cs="Calibri"/>
                <w:sz w:val="22"/>
                <w:szCs w:val="22"/>
              </w:rPr>
              <w:t xml:space="preserve"> a nastavitelný </w:t>
            </w:r>
            <w:r w:rsidR="007B18C0">
              <w:rPr>
                <w:rFonts w:ascii="Calibri" w:hAnsi="Calibri" w:cs="Calibri"/>
                <w:sz w:val="22"/>
                <w:szCs w:val="22"/>
              </w:rPr>
              <w:t xml:space="preserve">minimálně </w:t>
            </w:r>
            <w:r w:rsidRPr="00EC00B7">
              <w:rPr>
                <w:rFonts w:ascii="Calibri" w:hAnsi="Calibri" w:cs="Calibri"/>
                <w:sz w:val="22"/>
                <w:szCs w:val="22"/>
              </w:rPr>
              <w:t>v rozmezí 0,0 až 1,5 l/min.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3371197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504F968D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384F" w14:textId="5E21E72A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 xml:space="preserve">Průtok pomocného (auxiliary) plynu řízený MFC a nastavitelný </w:t>
            </w:r>
            <w:r w:rsidR="007B18C0">
              <w:rPr>
                <w:rFonts w:ascii="Calibri" w:hAnsi="Calibri" w:cs="Calibri"/>
                <w:sz w:val="22"/>
                <w:szCs w:val="22"/>
              </w:rPr>
              <w:t xml:space="preserve">minimálně </w:t>
            </w:r>
            <w:r w:rsidRPr="00EC00B7">
              <w:rPr>
                <w:rFonts w:ascii="Calibri" w:hAnsi="Calibri" w:cs="Calibri"/>
                <w:sz w:val="22"/>
                <w:szCs w:val="22"/>
              </w:rPr>
              <w:t>v rozmezí 0,0 až 2,0 l/min.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0C21295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721E4DB5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FE7E8" w14:textId="4984C462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>Průtok plazmového plyn</w:t>
            </w:r>
            <w:r w:rsidR="00547DD8">
              <w:rPr>
                <w:rFonts w:ascii="Calibri" w:hAnsi="Calibri" w:cs="Calibri"/>
                <w:sz w:val="22"/>
                <w:szCs w:val="22"/>
              </w:rPr>
              <w:t>u</w:t>
            </w:r>
            <w:r w:rsidRPr="00EC00B7">
              <w:rPr>
                <w:rFonts w:ascii="Calibri" w:hAnsi="Calibri" w:cs="Calibri"/>
                <w:sz w:val="22"/>
                <w:szCs w:val="22"/>
              </w:rPr>
              <w:t xml:space="preserve"> řízený MFC a nastavitelný </w:t>
            </w:r>
            <w:r w:rsidR="007B18C0">
              <w:rPr>
                <w:rFonts w:ascii="Calibri" w:hAnsi="Calibri" w:cs="Calibri"/>
                <w:sz w:val="22"/>
                <w:szCs w:val="22"/>
              </w:rPr>
              <w:t xml:space="preserve">minimálně </w:t>
            </w:r>
            <w:r w:rsidRPr="00EC00B7">
              <w:rPr>
                <w:rFonts w:ascii="Calibri" w:hAnsi="Calibri" w:cs="Calibri"/>
                <w:sz w:val="22"/>
                <w:szCs w:val="22"/>
              </w:rPr>
              <w:t>v rozmezí 0 až 20 l/min</w:t>
            </w:r>
            <w:r w:rsidR="007D7F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080A3F2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235FD555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71D18" w14:textId="57F51A01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>Radiální pozorovací výška plně nastavitelná</w:t>
            </w:r>
            <w:r w:rsidR="007B18C0">
              <w:rPr>
                <w:rFonts w:ascii="Calibri" w:hAnsi="Calibri" w:cs="Calibri"/>
                <w:sz w:val="22"/>
                <w:szCs w:val="22"/>
              </w:rPr>
              <w:t xml:space="preserve">minimálně </w:t>
            </w:r>
            <w:r w:rsidRPr="00EC00B7">
              <w:rPr>
                <w:rFonts w:ascii="Calibri" w:hAnsi="Calibri" w:cs="Calibri"/>
                <w:sz w:val="22"/>
                <w:szCs w:val="22"/>
              </w:rPr>
              <w:t xml:space="preserve"> v rozmezí od 6 do 18 mm.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D41CC0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3CEF17F1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9CDAF" w14:textId="6AE55BE7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>ICP spektrometr musí používat optický systém s Echelle polychromátorem který vytváří jeden optický obraz umožňující současné měření spektra</w:t>
            </w:r>
            <w:r w:rsidR="00FD6DAD">
              <w:rPr>
                <w:rFonts w:ascii="Calibri" w:hAnsi="Calibri" w:cs="Calibri"/>
                <w:sz w:val="22"/>
                <w:szCs w:val="22"/>
              </w:rPr>
              <w:t xml:space="preserve"> minimálně</w:t>
            </w:r>
            <w:r w:rsidRPr="00EC00B7">
              <w:rPr>
                <w:rFonts w:ascii="Calibri" w:hAnsi="Calibri" w:cs="Calibri"/>
                <w:sz w:val="22"/>
                <w:szCs w:val="22"/>
              </w:rPr>
              <w:t xml:space="preserve"> mezi 167 a 852 nm.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35487EA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0D323E40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6ED60" w14:textId="4FA3A96D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>Délka měření vzorku (délka analýzy) časově nezávislá na počtu měřených prvků, počtu měřených čar a intenzitách jejich signálu v celém rozsahu spektra min</w:t>
            </w:r>
            <w:r w:rsidR="00CC4A8F">
              <w:rPr>
                <w:rFonts w:ascii="Calibri" w:hAnsi="Calibri" w:cs="Calibri"/>
                <w:sz w:val="22"/>
                <w:szCs w:val="22"/>
              </w:rPr>
              <w:t>. v rozsahu</w:t>
            </w:r>
            <w:r w:rsidRPr="00EC00B7">
              <w:rPr>
                <w:rFonts w:ascii="Calibri" w:hAnsi="Calibri" w:cs="Calibri"/>
                <w:sz w:val="22"/>
                <w:szCs w:val="22"/>
              </w:rPr>
              <w:t xml:space="preserve"> 167–852 nm</w:t>
            </w:r>
            <w:r w:rsidR="007D7F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48D563E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7274728B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639AC" w14:textId="5EA38DA9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>Možnost simultánního měření na jakékoliv kombinaci čar a prvků v deklarovaném rozsahu bez omezení jejich počtu.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9F39AD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7FDA6EE0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30CFF" w14:textId="437E809C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>Konstantní optické rozlišení detektoru ≤ 7 pm při 200 nm.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8C67099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3DE838C8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E6F2E" w14:textId="6718AFF2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>Optická konstrukce musí zajišťovat distribuovanou optickou cestu od plazmatu k detektoru, která je pročištěna argonem nebo dusíkem, aniž by bylo nutné používat seřezávání studeného konce plasmatu (shear gas) nebo vzduchový kompresor.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4C15AB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55F0D46B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BD0B0" w14:textId="3922B77F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>Technologie detektoru musí být schopna nedestruktivního čtení, aby bylo možné měřit úroveň signálu na libovolném pixelu v libovolném bodě expozice s proměnlivou frekvencí čtení od pixelu k pixelu.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151B09A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595F16D8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967D4" w14:textId="03E66226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>Detektor musí být fotoaktivní po celé ploše, aby bylo možné nepřetržitě sledovat vlnovou délku a musí obsahovat minimálně 2048 x 2048 pixelů.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AC10162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36F9155D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623EF" w14:textId="38500B92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>Detektor musí mít maximální velikost pixelu 12 μm x 12 μm.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F7D5A2B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5AE36DE4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C58F" w14:textId="2BFA3FCA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Detektor </w:t>
            </w:r>
            <w:r w:rsidR="00922A21">
              <w:rPr>
                <w:rFonts w:ascii="Calibri" w:hAnsi="Calibri" w:cs="Calibri"/>
                <w:color w:val="000000"/>
                <w:sz w:val="22"/>
                <w:szCs w:val="22"/>
              </w:rPr>
              <w:t>musí být bez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22A21">
              <w:rPr>
                <w:rFonts w:ascii="Calibri" w:hAnsi="Calibri" w:cs="Calibri"/>
                <w:color w:val="000000"/>
                <w:sz w:val="22"/>
                <w:szCs w:val="22"/>
              </w:rPr>
              <w:t>požadavku 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kalibraci, kterou by musela obsluha provádět</w:t>
            </w:r>
            <w:r w:rsidR="007D7F8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840D977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7934DD04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3425F" w14:textId="67DAB265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Spektrometr musí být schopen měřit na </w:t>
            </w:r>
            <w:r w:rsidR="00922A21">
              <w:rPr>
                <w:rFonts w:ascii="Calibri" w:hAnsi="Calibri" w:cs="Calibri"/>
                <w:color w:val="000000"/>
                <w:sz w:val="22"/>
                <w:szCs w:val="22"/>
              </w:rPr>
              <w:t>minimálně</w:t>
            </w: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50 000 analytických vlnových délkách</w:t>
            </w:r>
            <w:r w:rsidR="00D86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D6D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minimálně </w:t>
            </w: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 rozpětí 167 – 852 nm.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5F5FE97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1EE2F46C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B38C" w14:textId="43C539BE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Kamera detektoru musí mít alespoň 4 mil. </w:t>
            </w:r>
            <w:r w:rsidR="007D7F84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>ixelů</w:t>
            </w:r>
            <w:r w:rsidR="007D7F8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B5C8BD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5718FB4D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D63C" w14:textId="4BFAAF39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Přístroj </w:t>
            </w:r>
            <w:r w:rsidR="00EF3286">
              <w:rPr>
                <w:rFonts w:ascii="Calibri" w:hAnsi="Calibri" w:cs="Calibri"/>
                <w:color w:val="000000"/>
                <w:sz w:val="22"/>
                <w:szCs w:val="22"/>
              </w:rPr>
              <w:t>musí být</w:t>
            </w: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vybaven „Plasma TV“, kamerou umístěnou v oblasti hořáku, která usnadňuje sledování plazmy prostřednictvím softwaru na obrazovce počítače.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5F585C1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4F25A59E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181BE" w14:textId="599D7135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>Spektrometr ICP musí být vybaven režimem sběru dat, který umožňuje zachytit spektrální data pro celý pracovní rozsah vlnových délek přístroje.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2BB1BC8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01E6CF4A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C4E40" w14:textId="6B20F213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>Stabilita vlnové délky musí vykazovat změnu &lt;1 pm po dobu 4 hodin v  tepelně stabilním prostředí.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92C6F1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4DB8A0F4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89831" w14:textId="70F2F511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>Relativní směrodatná odchylka pro 10 opakování roztoku s koncentracemi analytu 1000krát vyšší než stanovený detekční limit přístroje musí být &lt;0,5 %.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E8349F2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120B9117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9713" w14:textId="0EF8AD64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Čas analýzy jednoho vzorku i s nasátím vzorku z autosampleru se 3mi opakováními musí být menší než 60 vteřin</w:t>
            </w:r>
            <w:r w:rsidR="007D7F8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D5A7370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1CECF3BE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18D3" w14:textId="329AF99F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Limit detekce arsenu &lt;0.6 </w:t>
            </w:r>
            <w:r w:rsidRPr="000938AE">
              <w:rPr>
                <w:rFonts w:ascii="Calibri" w:hAnsi="Calibri" w:cs="Calibri"/>
                <w:color w:val="000000"/>
                <w:sz w:val="22"/>
                <w:szCs w:val="22"/>
              </w:rPr>
              <w:t>μg·L</w:t>
            </w:r>
            <w:r w:rsidRPr="000938A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 xml:space="preserve">-1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použití generátoru hydridů</w:t>
            </w:r>
            <w:r w:rsidR="007D7F8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FBE270C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511AA097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859F7" w14:textId="3EF22C93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Limit detekce selenu &lt;1.3 </w:t>
            </w:r>
            <w:r w:rsidRPr="000938AE">
              <w:rPr>
                <w:rFonts w:ascii="Calibri" w:hAnsi="Calibri" w:cs="Calibri"/>
                <w:color w:val="000000"/>
                <w:sz w:val="22"/>
                <w:szCs w:val="22"/>
              </w:rPr>
              <w:t>μg·L</w:t>
            </w:r>
            <w:r w:rsidRPr="000938A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-1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bez použití generátoru hydridů</w:t>
            </w:r>
            <w:r w:rsidR="007D7F8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103052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6EC1DF44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98F4" w14:textId="6288AE9D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Součástí nabídky </w:t>
            </w:r>
            <w:r w:rsidR="005543AB">
              <w:rPr>
                <w:rFonts w:ascii="Calibri" w:hAnsi="Calibri" w:cs="Calibri"/>
                <w:color w:val="000000"/>
                <w:sz w:val="22"/>
                <w:szCs w:val="22"/>
              </w:rPr>
              <w:t>musí být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generátor hydridů</w:t>
            </w:r>
            <w:r w:rsidR="007D7F8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C5D9FA2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1970EDBB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4BE24" w14:textId="44D913DA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Součástí dodávky </w:t>
            </w:r>
            <w:r w:rsidR="005543AB">
              <w:rPr>
                <w:rFonts w:ascii="Calibri" w:hAnsi="Calibri" w:cs="Calibri"/>
                <w:sz w:val="22"/>
                <w:szCs w:val="22"/>
              </w:rPr>
              <w:t>musí být</w:t>
            </w:r>
            <w:r w:rsidRPr="00EC00B7">
              <w:rPr>
                <w:rFonts w:ascii="Calibri" w:hAnsi="Calibri" w:cs="Calibri"/>
                <w:sz w:val="22"/>
                <w:szCs w:val="22"/>
              </w:rPr>
              <w:t xml:space="preserve"> zmlžovač se dvěma drážkami pro velmi zasolené vzorky bez možnosti ucpání zmlžovače kvůli krystalizaci vzorku uvnitř zmlžovače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D5F3B41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32D0C4B0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FE66B" w14:textId="56DB7267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Součástí dodávky </w:t>
            </w:r>
            <w:r w:rsidR="0043235A">
              <w:rPr>
                <w:rFonts w:ascii="Calibri" w:hAnsi="Calibri" w:cs="Calibri"/>
                <w:sz w:val="22"/>
                <w:szCs w:val="22"/>
              </w:rPr>
              <w:t>musí být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adaptér, (obecně nazývaný sheet gas adapter) pro zvýšení stability pro více zasolené vzorky.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1577283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5A238CCE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8329" w14:textId="10D65740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>Provoz na argon čistoty 99.995 %</w:t>
            </w:r>
            <w:r w:rsidR="007D7F8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FA28DB7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342F3125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DCAED" w14:textId="7DB3CE7F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>ICP spektrometr musí být schopen rozlišit doublet thalia při 190,856 nm a 190,870 nm.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3FEE1F5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2C9FC93C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C20BC" w14:textId="2B44FD0B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>Aktivní teplotní stabilizace zajištující teplotní nezávislost spektrometru – chlazení detektoru, stabilizace vnitřního prostředí</w:t>
            </w:r>
            <w:r w:rsidR="007D7F8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350C4EE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03BC75F9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4BF55" w14:textId="68FE2005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Součástí dodávky </w:t>
            </w:r>
            <w:r w:rsidR="00632AD6">
              <w:rPr>
                <w:rFonts w:ascii="Calibri" w:hAnsi="Calibri" w:cs="Calibri"/>
                <w:color w:val="000000"/>
                <w:sz w:val="22"/>
                <w:szCs w:val="22"/>
              </w:rPr>
              <w:t>musí být</w:t>
            </w: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autosampler </w:t>
            </w:r>
            <w:r w:rsidR="00FD6DAD">
              <w:rPr>
                <w:rFonts w:ascii="Calibri" w:hAnsi="Calibri" w:cs="Calibri"/>
                <w:color w:val="000000"/>
                <w:sz w:val="22"/>
                <w:szCs w:val="22"/>
              </w:rPr>
              <w:t>minimálně se</w:t>
            </w:r>
            <w:r w:rsidR="009236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>4mi pozicemi pro držáky zkumavek</w:t>
            </w:r>
            <w:r w:rsidR="007D7F8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ECE93D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56E68C72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DB98" w14:textId="34B5736D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Součástí autosamperu </w:t>
            </w:r>
            <w:r w:rsidR="00797CC1">
              <w:rPr>
                <w:rFonts w:ascii="Calibri" w:hAnsi="Calibri" w:cs="Calibri"/>
                <w:color w:val="000000"/>
                <w:sz w:val="22"/>
                <w:szCs w:val="22"/>
              </w:rPr>
              <w:t>musí být</w:t>
            </w: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detekce překážek ve všech třech osách pro zabránění poškození autosampleru</w:t>
            </w:r>
            <w:r w:rsidR="007D7F8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17D16F6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13BEB466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CF0E7" w14:textId="781CE8B0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Součástí autosampleru </w:t>
            </w:r>
            <w:r w:rsidR="00797CC1">
              <w:rPr>
                <w:rFonts w:ascii="Calibri" w:hAnsi="Calibri" w:cs="Calibri"/>
                <w:color w:val="000000"/>
                <w:sz w:val="22"/>
                <w:szCs w:val="22"/>
              </w:rPr>
              <w:t>musí být</w:t>
            </w:r>
            <w:r w:rsidRPr="00EC00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informační LED panel, který informuje o aktuálním stavu ICP spektrometru</w:t>
            </w:r>
            <w:r w:rsidR="007D7F8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52922D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30391" w:rsidRPr="0064240F" w14:paraId="0665E0A1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C71B" w14:textId="022D4EF9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Součástí dodávky autosampleru </w:t>
            </w:r>
            <w:r w:rsidR="00797CC1">
              <w:rPr>
                <w:rFonts w:ascii="Calibri" w:hAnsi="Calibri" w:cs="Calibri"/>
                <w:color w:val="000000"/>
                <w:sz w:val="22"/>
                <w:szCs w:val="22"/>
              </w:rPr>
              <w:t>musí být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C190A">
              <w:rPr>
                <w:rFonts w:ascii="Calibri" w:hAnsi="Calibri" w:cs="Calibri"/>
                <w:color w:val="000000"/>
                <w:sz w:val="22"/>
                <w:szCs w:val="22"/>
              </w:rPr>
              <w:t>minim</w:t>
            </w:r>
            <w:r w:rsidR="001D59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álně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pořadníky na</w:t>
            </w:r>
            <w:r w:rsidR="001D59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minimálně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vzorků</w:t>
            </w:r>
            <w:r w:rsidR="007D7F8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181EE4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21FD3A5F" w14:textId="77777777" w:rsidTr="00564762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8E1E0" w14:textId="38DE7D50" w:rsidR="00462FFA" w:rsidRPr="00A62FDA" w:rsidRDefault="00462FFA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FDA">
              <w:rPr>
                <w:rFonts w:ascii="Calibri" w:hAnsi="Calibri" w:cs="Calibri"/>
                <w:sz w:val="22"/>
                <w:szCs w:val="22"/>
                <w:lang w:eastAsia="en-US"/>
              </w:rPr>
              <w:t>Součástí spektrometru je polorozebíratelný křemenný hořák ICP, skládající se z injektoru (s různýmiprůměry</w:t>
            </w:r>
            <w:r w:rsidR="008C41F0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minimálně v rozmezí 1 až 2 mm</w:t>
            </w:r>
            <w:r w:rsidRPr="00A62FD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 </w:t>
            </w:r>
            <w:r w:rsidR="008C41F0">
              <w:rPr>
                <w:rFonts w:ascii="Calibri" w:hAnsi="Calibri" w:cs="Calibri"/>
                <w:sz w:val="22"/>
                <w:szCs w:val="22"/>
                <w:lang w:eastAsia="en-US"/>
              </w:rPr>
              <w:t>alespoń jednou variantou umožňující práci s kyselinou fluorovodíkovou</w:t>
            </w:r>
            <w:r w:rsidRPr="00A62FD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se šroubovacím držákem, vnější a vnitřní trubicí jako jeden robustní kus a samotného zacvakávacího držáku hořáku pro snadnější manipulaci a následné výměny spotřebních materiálů.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5E26A3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107BA449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4A20" w14:textId="3B295F64" w:rsidR="00462FFA" w:rsidRPr="00A62FDA" w:rsidRDefault="00FD6DAD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FDA">
              <w:rPr>
                <w:rFonts w:ascii="Calibri" w:hAnsi="Calibri" w:cs="Calibri"/>
                <w:sz w:val="22"/>
                <w:szCs w:val="22"/>
                <w:lang w:eastAsia="en-US"/>
              </w:rPr>
              <w:t>Součástí spektrometru je</w:t>
            </w:r>
            <w:r w:rsidR="00462FFA" w:rsidRPr="00A62FD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62FDA">
              <w:rPr>
                <w:rFonts w:ascii="Calibri" w:hAnsi="Calibri" w:cs="Calibri"/>
                <w:sz w:val="22"/>
                <w:szCs w:val="22"/>
              </w:rPr>
              <w:t xml:space="preserve">vyjímatelný keramický </w:t>
            </w:r>
            <w:r w:rsidR="00462FFA" w:rsidRPr="00A62FDA">
              <w:rPr>
                <w:rFonts w:ascii="Calibri" w:hAnsi="Calibri" w:cs="Calibri"/>
                <w:sz w:val="22"/>
                <w:szCs w:val="22"/>
              </w:rPr>
              <w:t>kónu</w:t>
            </w:r>
            <w:r w:rsidRPr="00A62FDA">
              <w:rPr>
                <w:rFonts w:ascii="Calibri" w:hAnsi="Calibri" w:cs="Calibri"/>
                <w:sz w:val="22"/>
                <w:szCs w:val="22"/>
              </w:rPr>
              <w:t>s</w:t>
            </w:r>
            <w:r w:rsidR="00462FFA" w:rsidRPr="00A62FDA">
              <w:rPr>
                <w:rFonts w:ascii="Calibri" w:hAnsi="Calibri" w:cs="Calibri"/>
                <w:sz w:val="22"/>
                <w:szCs w:val="22"/>
              </w:rPr>
              <w:t xml:space="preserve"> pro axiální pohled a utěsňovací okénk</w:t>
            </w:r>
            <w:r w:rsidR="00512456" w:rsidRPr="00966B9A">
              <w:rPr>
                <w:rFonts w:ascii="Calibri" w:hAnsi="Calibri" w:cs="Calibri"/>
                <w:sz w:val="22"/>
                <w:szCs w:val="22"/>
              </w:rPr>
              <w:t>a</w:t>
            </w:r>
            <w:r w:rsidR="00462FFA" w:rsidRPr="00A62FDA">
              <w:rPr>
                <w:rFonts w:ascii="Calibri" w:hAnsi="Calibri" w:cs="Calibri"/>
                <w:sz w:val="22"/>
                <w:szCs w:val="22"/>
              </w:rPr>
              <w:t xml:space="preserve"> optického tanku a polychromátoru pro ulehčení údržby.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DD57BC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62248C38" w14:textId="77777777" w:rsidTr="00564762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0C7F4" w14:textId="4EE9DA43" w:rsidR="00462FFA" w:rsidRPr="00A62FDA" w:rsidRDefault="00462FFA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FD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Optická konstrukce </w:t>
            </w:r>
            <w:r w:rsidR="009C1911" w:rsidRPr="00966B9A">
              <w:rPr>
                <w:rFonts w:ascii="Calibri" w:hAnsi="Calibri" w:cs="Calibri"/>
                <w:sz w:val="22"/>
                <w:szCs w:val="22"/>
                <w:lang w:eastAsia="en-US"/>
              </w:rPr>
              <w:t>musí obsahovat</w:t>
            </w:r>
            <w:r w:rsidRPr="00A62FD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systém na zintenzivnění signálu pro UV oblast detektoru díky čemuž se znatelně zvýší detekční limity pro dané prvky.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4C3AF31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5933A80B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351F" w14:textId="552503D3" w:rsidR="00462FFA" w:rsidRPr="00A62FDA" w:rsidRDefault="009458B4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Přístroj </w:t>
            </w:r>
            <w:r w:rsidR="002A41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musí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mít</w:t>
            </w:r>
            <w:r w:rsidR="002A41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62FFA" w:rsidRPr="00A62F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Peltierem </w:t>
            </w:r>
            <w:r w:rsidR="00080F20" w:rsidRPr="00A62FDA">
              <w:rPr>
                <w:rFonts w:ascii="Calibri" w:hAnsi="Calibri" w:cs="Calibri"/>
                <w:color w:val="000000"/>
                <w:sz w:val="22"/>
                <w:szCs w:val="22"/>
              </w:rPr>
              <w:t>chlazen</w:t>
            </w:r>
            <w:r w:rsidR="00080F20"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="00080F20" w:rsidRPr="00A62F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62FFA" w:rsidRPr="00A62F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CID detektor (Charge Injection Device) s polovodičovou elektronikou, aby bylo zajištěno zobrazení s vysokým kontrastem/nízkým šumem a simultánní kvantifikace všech vlnových délek v analytickém rozsahu bez přesycení detektoru (anti-blooming) s pokrytím celého spektra </w:t>
            </w:r>
            <w:r w:rsidR="00080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minimálně v rozsahu </w:t>
            </w:r>
            <w:r w:rsidR="00462FFA" w:rsidRPr="00A62F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167 do 852 nm.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096EDF6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134D461F" w14:textId="77777777" w:rsidTr="00564762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F303D" w14:textId="69500337" w:rsidR="00462FFA" w:rsidRPr="00A62FDA" w:rsidRDefault="00F626EA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FDA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462FFA" w:rsidRPr="00A62FDA">
              <w:rPr>
                <w:rFonts w:ascii="Calibri" w:hAnsi="Calibri" w:cs="Calibri"/>
                <w:color w:val="000000"/>
                <w:sz w:val="22"/>
                <w:szCs w:val="22"/>
              </w:rPr>
              <w:t>utosampler</w:t>
            </w:r>
            <w:r w:rsidRPr="00A62F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A650E" w:rsidRPr="00966B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musí </w:t>
            </w:r>
            <w:r w:rsidRPr="00A62FDA">
              <w:rPr>
                <w:rFonts w:ascii="Calibri" w:hAnsi="Calibri" w:cs="Calibri"/>
                <w:color w:val="000000"/>
                <w:sz w:val="22"/>
                <w:szCs w:val="22"/>
              </w:rPr>
              <w:t>umožň</w:t>
            </w:r>
            <w:r w:rsidR="007A650E" w:rsidRPr="00966B9A">
              <w:rPr>
                <w:rFonts w:ascii="Calibri" w:hAnsi="Calibri" w:cs="Calibri"/>
                <w:color w:val="000000"/>
                <w:sz w:val="22"/>
                <w:szCs w:val="22"/>
              </w:rPr>
              <w:t>ovat</w:t>
            </w:r>
            <w:r w:rsidR="00462FFA" w:rsidRPr="00A62F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urychlení času analýzy díky využití zbylého vzorku v hadičkách </w:t>
            </w:r>
            <w:r w:rsidRPr="00A62FDA">
              <w:rPr>
                <w:rFonts w:ascii="Calibri" w:hAnsi="Calibri" w:cs="Calibri"/>
                <w:color w:val="000000"/>
                <w:sz w:val="22"/>
                <w:szCs w:val="22"/>
              </w:rPr>
              <w:t>a je plně pod</w:t>
            </w:r>
            <w:r w:rsidR="00462FFA" w:rsidRPr="00A62F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kontrolou přes ovládací software ICP-OES.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0A6EE7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72E40FFB" w14:textId="77777777" w:rsidTr="00E4478D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859F" w14:textId="180B9D9F" w:rsidR="00462FFA" w:rsidRPr="00462FFA" w:rsidRDefault="00462FFA" w:rsidP="00462FFA">
            <w:pPr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462F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757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Pr="00462F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arametry software</w:t>
            </w:r>
          </w:p>
        </w:tc>
      </w:tr>
      <w:tr w:rsidR="00462FFA" w:rsidRPr="0064240F" w14:paraId="456362CC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7A66" w14:textId="5AEC7C21" w:rsidR="00462FFA" w:rsidRDefault="00462FFA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C6F">
              <w:rPr>
                <w:rFonts w:ascii="Calibri" w:hAnsi="Calibri" w:cs="Calibri"/>
                <w:sz w:val="22"/>
                <w:szCs w:val="22"/>
              </w:rPr>
              <w:t>Ovládací SW pro řízení analýzy a vyhodnocování dat pro kvantitativní a kvalitativní analýzu vzorků.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64B64B5" w14:textId="07985379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4346BFB6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9B14D" w14:textId="79BCEDB8" w:rsidR="00462FFA" w:rsidRDefault="00F626EA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462FFA" w:rsidRPr="00817C6F">
              <w:rPr>
                <w:rFonts w:ascii="Calibri" w:hAnsi="Calibri" w:cs="Calibri"/>
                <w:sz w:val="22"/>
                <w:szCs w:val="22"/>
              </w:rPr>
              <w:t xml:space="preserve">vládací, diagnostický a validační software (nastavení autorských práv) umožňující jednoduchý vývoj metod, software přístroje musí umožňovat přenos výsledků po síti (TCP/IP), přenos dat do souboru na HDD či síti, tisk výsledků na místní či síťové tiskárně.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73CB30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5F19DC2A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EDAB1" w14:textId="256949FE" w:rsidR="00462FFA" w:rsidRDefault="00462FFA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C6F">
              <w:rPr>
                <w:rFonts w:ascii="Calibri" w:hAnsi="Calibri" w:cs="Calibri"/>
                <w:color w:val="000000"/>
                <w:sz w:val="22"/>
                <w:szCs w:val="22"/>
              </w:rPr>
              <w:t>SW musí umožňovat kontrolu všech parametrů přístroje (výkony generátorů, průtoky plynů, teploty chladičů, kontrolu tlaku ve zmlžovači) a stavu přístroje</w:t>
            </w:r>
            <w:r w:rsidR="00080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stavu interlocků.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288241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633DEC31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0A8E8" w14:textId="2AE507D0" w:rsidR="00462FFA" w:rsidRDefault="00462FFA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Součástí nabídky </w:t>
            </w:r>
            <w:r w:rsidR="00EF3E59">
              <w:rPr>
                <w:rFonts w:ascii="Calibri" w:hAnsi="Calibri" w:cs="Calibri"/>
                <w:sz w:val="22"/>
                <w:szCs w:val="22"/>
              </w:rPr>
              <w:t>musí být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software pro kontrolu kvality (QC)</w:t>
            </w:r>
            <w:r w:rsidR="007D7F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BAC7CD6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7DADCDBC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0600" w14:textId="6BE369D0" w:rsidR="00462FFA" w:rsidRDefault="00462FFA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C6F">
              <w:rPr>
                <w:rFonts w:ascii="Calibri" w:hAnsi="Calibri" w:cs="Calibri"/>
                <w:sz w:val="22"/>
                <w:szCs w:val="22"/>
              </w:rPr>
              <w:t>Nastavení přístroje musí být možné provést jedním kliknutím, které zahrnuje ověření výkonnostních kritérií.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A2AF961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57B98742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D00A4" w14:textId="5DF83A55" w:rsidR="00462FFA" w:rsidRDefault="00A31A07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Přístroj musí</w:t>
            </w:r>
            <w:r w:rsidR="004E0D98">
              <w:rPr>
                <w:rFonts w:ascii="Calibri" w:hAnsi="Calibri" w:cs="Calibri"/>
                <w:sz w:val="22"/>
                <w:szCs w:val="22"/>
              </w:rPr>
              <w:t xml:space="preserve"> umožňovat</w:t>
            </w:r>
            <w:r w:rsidR="00462FFA" w:rsidRPr="00817C6F">
              <w:rPr>
                <w:rFonts w:ascii="Calibri" w:hAnsi="Calibri" w:cs="Calibri"/>
                <w:sz w:val="22"/>
                <w:szCs w:val="22"/>
              </w:rPr>
              <w:t xml:space="preserve"> provádět samostatně kontrolní měření na zvolených certifikovaných standardech</w:t>
            </w:r>
            <w:r w:rsidR="007D7F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8AE7488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7F1F7188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6F23" w14:textId="223BB3C1" w:rsidR="00462FFA" w:rsidRDefault="00462FFA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C6F">
              <w:rPr>
                <w:rFonts w:ascii="Calibri" w:hAnsi="Calibri" w:cs="Calibri"/>
                <w:sz w:val="22"/>
                <w:szCs w:val="22"/>
              </w:rPr>
              <w:lastRenderedPageBreak/>
              <w:t>Zabudovaná knihovna analytických čar a potenciálních interferencí</w:t>
            </w:r>
            <w:r w:rsidR="007D7F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CEB6F73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5947BB30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AF256" w14:textId="50F2915E" w:rsidR="00462FFA" w:rsidRDefault="00462FFA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C6F">
              <w:rPr>
                <w:rFonts w:ascii="Calibri" w:hAnsi="Calibri" w:cs="Calibri"/>
                <w:sz w:val="22"/>
                <w:szCs w:val="22"/>
              </w:rPr>
              <w:t>SW nástroj pro snadné automatické vyhodnocení vhodnosti různých emisních čar stanovovaných prvků a nápověda nejvhodnějších čar pro kvantitativní analýzu daného vzorku s ohledem na reálné složení vzorku</w:t>
            </w:r>
            <w:r w:rsidR="007D7F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AFAB33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3F1B6822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FF06F" w14:textId="5F70C2D0" w:rsidR="00462FFA" w:rsidRDefault="00462FFA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C6F">
              <w:rPr>
                <w:rFonts w:ascii="Calibri" w:hAnsi="Calibri" w:cs="Calibri"/>
                <w:sz w:val="22"/>
                <w:szCs w:val="22"/>
              </w:rPr>
              <w:t xml:space="preserve">Musí být použity plně automatizované a automaticky inicializované postupy kalibrace vlnových délek, aby  uživatel </w:t>
            </w:r>
            <w:r w:rsidR="000669FA">
              <w:rPr>
                <w:rFonts w:ascii="Calibri" w:hAnsi="Calibri" w:cs="Calibri"/>
                <w:sz w:val="22"/>
                <w:szCs w:val="22"/>
              </w:rPr>
              <w:t>ne</w:t>
            </w:r>
            <w:r w:rsidRPr="00817C6F">
              <w:rPr>
                <w:rFonts w:ascii="Calibri" w:hAnsi="Calibri" w:cs="Calibri"/>
                <w:sz w:val="22"/>
                <w:szCs w:val="22"/>
              </w:rPr>
              <w:t>muse</w:t>
            </w:r>
            <w:r w:rsidR="000669FA">
              <w:rPr>
                <w:rFonts w:ascii="Calibri" w:hAnsi="Calibri" w:cs="Calibri"/>
                <w:sz w:val="22"/>
                <w:szCs w:val="22"/>
              </w:rPr>
              <w:t>l</w:t>
            </w:r>
            <w:r w:rsidRPr="00817C6F">
              <w:rPr>
                <w:rFonts w:ascii="Calibri" w:hAnsi="Calibri" w:cs="Calibri"/>
                <w:sz w:val="22"/>
                <w:szCs w:val="22"/>
              </w:rPr>
              <w:t xml:space="preserve"> vytvářet píky nebo mapovat (nebo znovu mapovat) pozice vlnových délek vzhledem k čipu detektoru.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C1790D0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69FE2607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B518" w14:textId="20A1C368" w:rsidR="00462FFA" w:rsidRDefault="00462FFA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C6F">
              <w:rPr>
                <w:rFonts w:ascii="Calibri" w:hAnsi="Calibri" w:cs="Calibri"/>
                <w:sz w:val="22"/>
                <w:szCs w:val="22"/>
              </w:rPr>
              <w:t>Výběr optimálních poloh pro integraci píku a nejnižší korekci pozadí s možností měnit velikost a umístění integračních oblastí podle jednotlivých vlnových délek, přičemž uživatel musí mít rovněž možnost nastavit tyto polohy nezávisle na pixelech.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9BF4670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378D93CA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7660D" w14:textId="78D2304A" w:rsidR="00462FFA" w:rsidRDefault="00462FFA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C6F">
              <w:rPr>
                <w:rFonts w:ascii="Calibri" w:hAnsi="Calibri" w:cs="Calibri"/>
                <w:sz w:val="22"/>
                <w:szCs w:val="22"/>
              </w:rPr>
              <w:t>Musí být umožněno zobrazení spektrálních informací v okolí analytické vlnové délky s možností překrytí více píků.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032CA75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37999236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2D2B1" w14:textId="329379F9" w:rsidR="00462FFA" w:rsidRDefault="00462FFA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C6F">
              <w:rPr>
                <w:rFonts w:ascii="Calibri" w:hAnsi="Calibri" w:cs="Calibri"/>
                <w:sz w:val="22"/>
                <w:szCs w:val="22"/>
              </w:rPr>
              <w:t>Musí být možné upravit měřítko spektrálního zobrazení, přiblížit určitou oblast a zobrazit pixelová data pro snadnou identifikaci interferencí.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939C077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462FFA" w:rsidRPr="0064240F" w14:paraId="6892E656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E75E" w14:textId="632D8C4A" w:rsidR="00462FFA" w:rsidRDefault="00462FFA" w:rsidP="00462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C6F">
              <w:rPr>
                <w:rFonts w:ascii="Calibri" w:hAnsi="Calibri" w:cs="Calibri"/>
                <w:sz w:val="22"/>
                <w:szCs w:val="22"/>
              </w:rPr>
              <w:t>Možnost exportu naměřených dat do formátu kompatibilního s MS Excel</w:t>
            </w:r>
            <w:r w:rsidR="007D7F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324DF2E" w14:textId="77777777" w:rsidR="00462FFA" w:rsidRPr="0064240F" w:rsidRDefault="00462FFA" w:rsidP="00462FFA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401ECD09" w14:textId="77777777" w:rsidR="00F14F62" w:rsidRPr="00F14F62" w:rsidRDefault="00F14F62" w:rsidP="00F14F62"/>
    <w:sectPr w:rsidR="00F14F62" w:rsidRPr="00F14F62" w:rsidSect="00E86E13">
      <w:footerReference w:type="default" r:id="rId10"/>
      <w:headerReference w:type="first" r:id="rId11"/>
      <w:pgSz w:w="11906" w:h="16838"/>
      <w:pgMar w:top="2110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0E7F" w14:textId="77777777" w:rsidR="004E671A" w:rsidRDefault="004E671A">
      <w:r>
        <w:separator/>
      </w:r>
    </w:p>
  </w:endnote>
  <w:endnote w:type="continuationSeparator" w:id="0">
    <w:p w14:paraId="4BCF8B6C" w14:textId="77777777" w:rsidR="004E671A" w:rsidRDefault="004E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BD7E" w14:textId="77777777" w:rsidR="004E671A" w:rsidRDefault="004E671A">
      <w:r>
        <w:separator/>
      </w:r>
    </w:p>
  </w:footnote>
  <w:footnote w:type="continuationSeparator" w:id="0">
    <w:p w14:paraId="7F00DD54" w14:textId="77777777" w:rsidR="004E671A" w:rsidRDefault="004E6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13316069" name="Obrázek 513316069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39070CE2" w:rsidR="001968C9" w:rsidRPr="00CA46C0" w:rsidRDefault="00BA744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r w:rsidRPr="00CA46C0">
      <w:rPr>
        <w:rFonts w:ascii="Calibri" w:hAnsi="Calibri"/>
        <w:sz w:val="20"/>
        <w:szCs w:val="20"/>
        <w:lang w:val="en-US"/>
      </w:rPr>
      <w:tab/>
    </w:r>
    <w:r w:rsidRPr="00CA46C0">
      <w:rPr>
        <w:rFonts w:ascii="Calibri" w:hAnsi="Calibri"/>
        <w:sz w:val="20"/>
        <w:szCs w:val="20"/>
        <w:lang w:val="en-US"/>
      </w:rPr>
      <w:tab/>
    </w:r>
    <w:r w:rsidRPr="00CA46C0">
      <w:rPr>
        <w:rFonts w:ascii="Calibri" w:hAnsi="Calibri"/>
        <w:sz w:val="20"/>
        <w:szCs w:val="20"/>
        <w:lang w:val="en-US"/>
      </w:rPr>
      <w:tab/>
    </w:r>
    <w:r w:rsidRPr="00CA46C0">
      <w:rPr>
        <w:rFonts w:ascii="Calibri" w:hAnsi="Calibri"/>
        <w:sz w:val="16"/>
        <w:szCs w:val="16"/>
        <w:lang w:val="en-US"/>
      </w:rPr>
      <w:tab/>
    </w:r>
    <w:r w:rsidRPr="00CA46C0">
      <w:rPr>
        <w:rFonts w:ascii="Calibri" w:hAnsi="Calibri"/>
        <w:sz w:val="16"/>
        <w:szCs w:val="16"/>
        <w:lang w:val="en-US"/>
      </w:rPr>
      <w:tab/>
    </w:r>
    <w:r w:rsidRPr="00CA46C0">
      <w:rPr>
        <w:rFonts w:ascii="Calibri" w:hAnsi="Calibri"/>
        <w:sz w:val="16"/>
        <w:szCs w:val="16"/>
        <w:lang w:val="en-US"/>
      </w:rPr>
      <w:tab/>
    </w:r>
    <w:r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66C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669FA"/>
    <w:rsid w:val="00073683"/>
    <w:rsid w:val="00074705"/>
    <w:rsid w:val="0007479D"/>
    <w:rsid w:val="00075ACD"/>
    <w:rsid w:val="00076CF8"/>
    <w:rsid w:val="0008064D"/>
    <w:rsid w:val="00080F20"/>
    <w:rsid w:val="000818E8"/>
    <w:rsid w:val="0008288D"/>
    <w:rsid w:val="0008444A"/>
    <w:rsid w:val="00084616"/>
    <w:rsid w:val="00085BF7"/>
    <w:rsid w:val="00086252"/>
    <w:rsid w:val="00086665"/>
    <w:rsid w:val="00087E9F"/>
    <w:rsid w:val="000900C6"/>
    <w:rsid w:val="00094EC1"/>
    <w:rsid w:val="00095A8F"/>
    <w:rsid w:val="000A1AE9"/>
    <w:rsid w:val="000A4724"/>
    <w:rsid w:val="000A4988"/>
    <w:rsid w:val="000A7ADF"/>
    <w:rsid w:val="000B0809"/>
    <w:rsid w:val="000B30A0"/>
    <w:rsid w:val="000B4DBC"/>
    <w:rsid w:val="000B6147"/>
    <w:rsid w:val="000B7911"/>
    <w:rsid w:val="000C1461"/>
    <w:rsid w:val="000C1ADF"/>
    <w:rsid w:val="000C25F0"/>
    <w:rsid w:val="000C3241"/>
    <w:rsid w:val="000C4E10"/>
    <w:rsid w:val="000C6D27"/>
    <w:rsid w:val="000D0490"/>
    <w:rsid w:val="000D24E1"/>
    <w:rsid w:val="000D491E"/>
    <w:rsid w:val="000D5C24"/>
    <w:rsid w:val="000D63B7"/>
    <w:rsid w:val="000D6D6B"/>
    <w:rsid w:val="000D737C"/>
    <w:rsid w:val="000D77DF"/>
    <w:rsid w:val="000E29D2"/>
    <w:rsid w:val="000F13AC"/>
    <w:rsid w:val="000F156B"/>
    <w:rsid w:val="000F1654"/>
    <w:rsid w:val="000F4DDF"/>
    <w:rsid w:val="000F6FA0"/>
    <w:rsid w:val="000F7483"/>
    <w:rsid w:val="000F74DB"/>
    <w:rsid w:val="000F7DE0"/>
    <w:rsid w:val="00104731"/>
    <w:rsid w:val="00105C41"/>
    <w:rsid w:val="001105CC"/>
    <w:rsid w:val="00110CDF"/>
    <w:rsid w:val="0011379E"/>
    <w:rsid w:val="00114358"/>
    <w:rsid w:val="00117FA7"/>
    <w:rsid w:val="00123BBF"/>
    <w:rsid w:val="00125DEF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09F2"/>
    <w:rsid w:val="00151647"/>
    <w:rsid w:val="001518F5"/>
    <w:rsid w:val="00152673"/>
    <w:rsid w:val="00156D57"/>
    <w:rsid w:val="00161F6F"/>
    <w:rsid w:val="00162F5A"/>
    <w:rsid w:val="0016545C"/>
    <w:rsid w:val="0016583F"/>
    <w:rsid w:val="0016743C"/>
    <w:rsid w:val="00170BE4"/>
    <w:rsid w:val="001735E1"/>
    <w:rsid w:val="0017549F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3EEE"/>
    <w:rsid w:val="001B5DDD"/>
    <w:rsid w:val="001B62A6"/>
    <w:rsid w:val="001B67AB"/>
    <w:rsid w:val="001B6F9C"/>
    <w:rsid w:val="001B7A87"/>
    <w:rsid w:val="001B7B52"/>
    <w:rsid w:val="001B7DE7"/>
    <w:rsid w:val="001C39B8"/>
    <w:rsid w:val="001C44A9"/>
    <w:rsid w:val="001C4F76"/>
    <w:rsid w:val="001C517B"/>
    <w:rsid w:val="001C76A1"/>
    <w:rsid w:val="001D3056"/>
    <w:rsid w:val="001D4037"/>
    <w:rsid w:val="001D5938"/>
    <w:rsid w:val="001D5FDD"/>
    <w:rsid w:val="001D65E9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7840"/>
    <w:rsid w:val="00227EA3"/>
    <w:rsid w:val="00230391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8A1"/>
    <w:rsid w:val="002619E3"/>
    <w:rsid w:val="002622D2"/>
    <w:rsid w:val="00263452"/>
    <w:rsid w:val="002635FE"/>
    <w:rsid w:val="0026614A"/>
    <w:rsid w:val="00267D76"/>
    <w:rsid w:val="002730A9"/>
    <w:rsid w:val="00276CF5"/>
    <w:rsid w:val="00277FD6"/>
    <w:rsid w:val="0028000E"/>
    <w:rsid w:val="00281A01"/>
    <w:rsid w:val="00281A61"/>
    <w:rsid w:val="00287610"/>
    <w:rsid w:val="002902DB"/>
    <w:rsid w:val="002919E9"/>
    <w:rsid w:val="00292CB2"/>
    <w:rsid w:val="00292F00"/>
    <w:rsid w:val="00293573"/>
    <w:rsid w:val="00294292"/>
    <w:rsid w:val="00295D5D"/>
    <w:rsid w:val="002962D5"/>
    <w:rsid w:val="002970E0"/>
    <w:rsid w:val="00297520"/>
    <w:rsid w:val="002A0536"/>
    <w:rsid w:val="002A4127"/>
    <w:rsid w:val="002A42E2"/>
    <w:rsid w:val="002A511A"/>
    <w:rsid w:val="002B01DA"/>
    <w:rsid w:val="002C4D26"/>
    <w:rsid w:val="002C6715"/>
    <w:rsid w:val="002C7C31"/>
    <w:rsid w:val="002D46F4"/>
    <w:rsid w:val="002E4926"/>
    <w:rsid w:val="002E588C"/>
    <w:rsid w:val="002E6062"/>
    <w:rsid w:val="002F3E56"/>
    <w:rsid w:val="002F59F4"/>
    <w:rsid w:val="002F67BF"/>
    <w:rsid w:val="002F79EA"/>
    <w:rsid w:val="00304F95"/>
    <w:rsid w:val="003079C2"/>
    <w:rsid w:val="00310082"/>
    <w:rsid w:val="00311C33"/>
    <w:rsid w:val="0031218C"/>
    <w:rsid w:val="00313489"/>
    <w:rsid w:val="00316E34"/>
    <w:rsid w:val="00320186"/>
    <w:rsid w:val="0032252D"/>
    <w:rsid w:val="00325516"/>
    <w:rsid w:val="003256ED"/>
    <w:rsid w:val="00326F63"/>
    <w:rsid w:val="00327E13"/>
    <w:rsid w:val="0033041E"/>
    <w:rsid w:val="00330665"/>
    <w:rsid w:val="00331847"/>
    <w:rsid w:val="003342D7"/>
    <w:rsid w:val="00340F27"/>
    <w:rsid w:val="003428EC"/>
    <w:rsid w:val="003447E3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74832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1F46"/>
    <w:rsid w:val="003B4693"/>
    <w:rsid w:val="003B4DF8"/>
    <w:rsid w:val="003B54FF"/>
    <w:rsid w:val="003B7658"/>
    <w:rsid w:val="003C3A7B"/>
    <w:rsid w:val="003C5741"/>
    <w:rsid w:val="003C63E8"/>
    <w:rsid w:val="003C6A62"/>
    <w:rsid w:val="003C7C06"/>
    <w:rsid w:val="003D40B3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158A6"/>
    <w:rsid w:val="0042149E"/>
    <w:rsid w:val="00424B10"/>
    <w:rsid w:val="00424FDB"/>
    <w:rsid w:val="00425BE4"/>
    <w:rsid w:val="0043235A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2FFA"/>
    <w:rsid w:val="00464B43"/>
    <w:rsid w:val="00465929"/>
    <w:rsid w:val="004702CB"/>
    <w:rsid w:val="00474F0B"/>
    <w:rsid w:val="004757DB"/>
    <w:rsid w:val="00475D2F"/>
    <w:rsid w:val="00477E03"/>
    <w:rsid w:val="00484465"/>
    <w:rsid w:val="0048477A"/>
    <w:rsid w:val="004851B0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4D79"/>
    <w:rsid w:val="004A7486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0D98"/>
    <w:rsid w:val="004E3D66"/>
    <w:rsid w:val="004E410B"/>
    <w:rsid w:val="004E471B"/>
    <w:rsid w:val="004E671A"/>
    <w:rsid w:val="004F0AAD"/>
    <w:rsid w:val="004F0F4A"/>
    <w:rsid w:val="004F3B10"/>
    <w:rsid w:val="004F4CD6"/>
    <w:rsid w:val="00500268"/>
    <w:rsid w:val="0050103C"/>
    <w:rsid w:val="00501CBF"/>
    <w:rsid w:val="00502A2F"/>
    <w:rsid w:val="0050395F"/>
    <w:rsid w:val="00504823"/>
    <w:rsid w:val="00504E07"/>
    <w:rsid w:val="00507965"/>
    <w:rsid w:val="005101F9"/>
    <w:rsid w:val="0051199B"/>
    <w:rsid w:val="00512456"/>
    <w:rsid w:val="005126AC"/>
    <w:rsid w:val="00513E96"/>
    <w:rsid w:val="005149D5"/>
    <w:rsid w:val="00514F87"/>
    <w:rsid w:val="00516049"/>
    <w:rsid w:val="00517822"/>
    <w:rsid w:val="00522537"/>
    <w:rsid w:val="00524207"/>
    <w:rsid w:val="0052461B"/>
    <w:rsid w:val="0052566E"/>
    <w:rsid w:val="00531273"/>
    <w:rsid w:val="005312A0"/>
    <w:rsid w:val="00531497"/>
    <w:rsid w:val="0053181F"/>
    <w:rsid w:val="00532724"/>
    <w:rsid w:val="00541168"/>
    <w:rsid w:val="00542A4F"/>
    <w:rsid w:val="00544CFA"/>
    <w:rsid w:val="00547DD8"/>
    <w:rsid w:val="00553DE6"/>
    <w:rsid w:val="00553EC5"/>
    <w:rsid w:val="005543AB"/>
    <w:rsid w:val="00561A40"/>
    <w:rsid w:val="00563623"/>
    <w:rsid w:val="005650E8"/>
    <w:rsid w:val="00565B70"/>
    <w:rsid w:val="00566963"/>
    <w:rsid w:val="00566DA5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7598"/>
    <w:rsid w:val="005A7CEE"/>
    <w:rsid w:val="005B03E5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14AA"/>
    <w:rsid w:val="00615820"/>
    <w:rsid w:val="00617265"/>
    <w:rsid w:val="00617953"/>
    <w:rsid w:val="00624319"/>
    <w:rsid w:val="006274E1"/>
    <w:rsid w:val="006314FC"/>
    <w:rsid w:val="00632AD6"/>
    <w:rsid w:val="006337A5"/>
    <w:rsid w:val="0064240F"/>
    <w:rsid w:val="00643FF2"/>
    <w:rsid w:val="0064693B"/>
    <w:rsid w:val="00650F43"/>
    <w:rsid w:val="00653D5F"/>
    <w:rsid w:val="00655C51"/>
    <w:rsid w:val="00657796"/>
    <w:rsid w:val="006609C5"/>
    <w:rsid w:val="00660E65"/>
    <w:rsid w:val="00670563"/>
    <w:rsid w:val="00671895"/>
    <w:rsid w:val="006734C3"/>
    <w:rsid w:val="0067415C"/>
    <w:rsid w:val="00674F0A"/>
    <w:rsid w:val="0067564A"/>
    <w:rsid w:val="006802AA"/>
    <w:rsid w:val="00680770"/>
    <w:rsid w:val="00681B11"/>
    <w:rsid w:val="006822F4"/>
    <w:rsid w:val="00682D53"/>
    <w:rsid w:val="00687798"/>
    <w:rsid w:val="00687C3E"/>
    <w:rsid w:val="006957BA"/>
    <w:rsid w:val="00697F62"/>
    <w:rsid w:val="006A0D96"/>
    <w:rsid w:val="006A16BC"/>
    <w:rsid w:val="006A2364"/>
    <w:rsid w:val="006A61DF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320E"/>
    <w:rsid w:val="006D457D"/>
    <w:rsid w:val="006D549F"/>
    <w:rsid w:val="006D775F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3453C"/>
    <w:rsid w:val="00736311"/>
    <w:rsid w:val="00741855"/>
    <w:rsid w:val="00742EBE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7356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97CC1"/>
    <w:rsid w:val="007A650E"/>
    <w:rsid w:val="007B04C5"/>
    <w:rsid w:val="007B0B1F"/>
    <w:rsid w:val="007B18C0"/>
    <w:rsid w:val="007B1BEC"/>
    <w:rsid w:val="007B3C84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D7F84"/>
    <w:rsid w:val="007E0794"/>
    <w:rsid w:val="007E17F6"/>
    <w:rsid w:val="007E186C"/>
    <w:rsid w:val="007E1882"/>
    <w:rsid w:val="007F2ABA"/>
    <w:rsid w:val="007F31EA"/>
    <w:rsid w:val="007F3262"/>
    <w:rsid w:val="008007B0"/>
    <w:rsid w:val="008061B3"/>
    <w:rsid w:val="008061EA"/>
    <w:rsid w:val="00811D48"/>
    <w:rsid w:val="00813557"/>
    <w:rsid w:val="00813C7C"/>
    <w:rsid w:val="008169B7"/>
    <w:rsid w:val="0082216B"/>
    <w:rsid w:val="00825E17"/>
    <w:rsid w:val="008261BE"/>
    <w:rsid w:val="00833812"/>
    <w:rsid w:val="00835DD8"/>
    <w:rsid w:val="008365C5"/>
    <w:rsid w:val="00836C34"/>
    <w:rsid w:val="008378D7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1D2"/>
    <w:rsid w:val="00861CC3"/>
    <w:rsid w:val="00861D20"/>
    <w:rsid w:val="00862888"/>
    <w:rsid w:val="00865C60"/>
    <w:rsid w:val="008734AC"/>
    <w:rsid w:val="00875F32"/>
    <w:rsid w:val="00881368"/>
    <w:rsid w:val="00881589"/>
    <w:rsid w:val="00882532"/>
    <w:rsid w:val="00883926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C41F0"/>
    <w:rsid w:val="008D02A5"/>
    <w:rsid w:val="008D0CD7"/>
    <w:rsid w:val="008D29E0"/>
    <w:rsid w:val="008E3D13"/>
    <w:rsid w:val="008E4BED"/>
    <w:rsid w:val="008E6B6C"/>
    <w:rsid w:val="008E7FC8"/>
    <w:rsid w:val="008F4E25"/>
    <w:rsid w:val="00905F57"/>
    <w:rsid w:val="0090694B"/>
    <w:rsid w:val="009069F6"/>
    <w:rsid w:val="00907EAF"/>
    <w:rsid w:val="0091090C"/>
    <w:rsid w:val="009162AB"/>
    <w:rsid w:val="00917BE6"/>
    <w:rsid w:val="00922A21"/>
    <w:rsid w:val="00923496"/>
    <w:rsid w:val="009235F1"/>
    <w:rsid w:val="009236E8"/>
    <w:rsid w:val="00923CFE"/>
    <w:rsid w:val="00924610"/>
    <w:rsid w:val="00925880"/>
    <w:rsid w:val="00925AE5"/>
    <w:rsid w:val="00930F42"/>
    <w:rsid w:val="00931702"/>
    <w:rsid w:val="00931C09"/>
    <w:rsid w:val="00933A38"/>
    <w:rsid w:val="00937272"/>
    <w:rsid w:val="009376E1"/>
    <w:rsid w:val="009402EC"/>
    <w:rsid w:val="00941030"/>
    <w:rsid w:val="009458B4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66B9A"/>
    <w:rsid w:val="0097126A"/>
    <w:rsid w:val="00972373"/>
    <w:rsid w:val="009732C1"/>
    <w:rsid w:val="00973A7B"/>
    <w:rsid w:val="0097461D"/>
    <w:rsid w:val="00975730"/>
    <w:rsid w:val="00976A14"/>
    <w:rsid w:val="0098164A"/>
    <w:rsid w:val="00982300"/>
    <w:rsid w:val="009825C1"/>
    <w:rsid w:val="0098323A"/>
    <w:rsid w:val="0099174A"/>
    <w:rsid w:val="009936C9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1911"/>
    <w:rsid w:val="009C3406"/>
    <w:rsid w:val="009C4B9A"/>
    <w:rsid w:val="009C5F0B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E752E"/>
    <w:rsid w:val="009F2204"/>
    <w:rsid w:val="009F317B"/>
    <w:rsid w:val="009F4AB3"/>
    <w:rsid w:val="009F5CDF"/>
    <w:rsid w:val="009F6C4A"/>
    <w:rsid w:val="00A00A13"/>
    <w:rsid w:val="00A056B3"/>
    <w:rsid w:val="00A13A3F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1A07"/>
    <w:rsid w:val="00A353AE"/>
    <w:rsid w:val="00A40EB8"/>
    <w:rsid w:val="00A4794E"/>
    <w:rsid w:val="00A47D7A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2FDA"/>
    <w:rsid w:val="00A640E2"/>
    <w:rsid w:val="00A7324B"/>
    <w:rsid w:val="00A74613"/>
    <w:rsid w:val="00A746F4"/>
    <w:rsid w:val="00A76A9E"/>
    <w:rsid w:val="00A76DC8"/>
    <w:rsid w:val="00A82E5B"/>
    <w:rsid w:val="00A83800"/>
    <w:rsid w:val="00A85C16"/>
    <w:rsid w:val="00A90300"/>
    <w:rsid w:val="00A91C12"/>
    <w:rsid w:val="00A92F80"/>
    <w:rsid w:val="00A94FB0"/>
    <w:rsid w:val="00A96916"/>
    <w:rsid w:val="00AA1A5F"/>
    <w:rsid w:val="00AA2090"/>
    <w:rsid w:val="00AA211C"/>
    <w:rsid w:val="00AA3495"/>
    <w:rsid w:val="00AA479A"/>
    <w:rsid w:val="00AA785D"/>
    <w:rsid w:val="00AB1F25"/>
    <w:rsid w:val="00AB3663"/>
    <w:rsid w:val="00AB53C0"/>
    <w:rsid w:val="00AC190A"/>
    <w:rsid w:val="00AC2FF6"/>
    <w:rsid w:val="00AC58BB"/>
    <w:rsid w:val="00AC712A"/>
    <w:rsid w:val="00AD26F3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E7591"/>
    <w:rsid w:val="00AF0659"/>
    <w:rsid w:val="00AF1609"/>
    <w:rsid w:val="00AF673B"/>
    <w:rsid w:val="00B0698B"/>
    <w:rsid w:val="00B11190"/>
    <w:rsid w:val="00B173E5"/>
    <w:rsid w:val="00B2181B"/>
    <w:rsid w:val="00B24351"/>
    <w:rsid w:val="00B30FA6"/>
    <w:rsid w:val="00B31898"/>
    <w:rsid w:val="00B32027"/>
    <w:rsid w:val="00B3493A"/>
    <w:rsid w:val="00B356BB"/>
    <w:rsid w:val="00B406AB"/>
    <w:rsid w:val="00B41138"/>
    <w:rsid w:val="00B43FF1"/>
    <w:rsid w:val="00B55A43"/>
    <w:rsid w:val="00B56173"/>
    <w:rsid w:val="00B56DC9"/>
    <w:rsid w:val="00B65252"/>
    <w:rsid w:val="00B65B9C"/>
    <w:rsid w:val="00B70DED"/>
    <w:rsid w:val="00B7271A"/>
    <w:rsid w:val="00B75D33"/>
    <w:rsid w:val="00B80532"/>
    <w:rsid w:val="00B809D4"/>
    <w:rsid w:val="00B822D3"/>
    <w:rsid w:val="00B8277E"/>
    <w:rsid w:val="00B842D3"/>
    <w:rsid w:val="00B86079"/>
    <w:rsid w:val="00B871FC"/>
    <w:rsid w:val="00B87AD6"/>
    <w:rsid w:val="00B922BF"/>
    <w:rsid w:val="00B93B28"/>
    <w:rsid w:val="00B94284"/>
    <w:rsid w:val="00B9447F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45D1"/>
    <w:rsid w:val="00BC54C2"/>
    <w:rsid w:val="00BC5679"/>
    <w:rsid w:val="00BD153A"/>
    <w:rsid w:val="00BD1702"/>
    <w:rsid w:val="00BD4C61"/>
    <w:rsid w:val="00BD4ECC"/>
    <w:rsid w:val="00BD5CD7"/>
    <w:rsid w:val="00BD7EBB"/>
    <w:rsid w:val="00BE0762"/>
    <w:rsid w:val="00BE2E5A"/>
    <w:rsid w:val="00BE574A"/>
    <w:rsid w:val="00BE6B68"/>
    <w:rsid w:val="00BE7708"/>
    <w:rsid w:val="00BF0843"/>
    <w:rsid w:val="00BF265E"/>
    <w:rsid w:val="00BF3284"/>
    <w:rsid w:val="00BF3732"/>
    <w:rsid w:val="00BF3774"/>
    <w:rsid w:val="00BF5BA4"/>
    <w:rsid w:val="00C028A2"/>
    <w:rsid w:val="00C0339D"/>
    <w:rsid w:val="00C039BF"/>
    <w:rsid w:val="00C03D10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2D62"/>
    <w:rsid w:val="00C548A2"/>
    <w:rsid w:val="00C61C9A"/>
    <w:rsid w:val="00C625F1"/>
    <w:rsid w:val="00C67740"/>
    <w:rsid w:val="00C677A1"/>
    <w:rsid w:val="00C70A44"/>
    <w:rsid w:val="00C70A4E"/>
    <w:rsid w:val="00C72ED6"/>
    <w:rsid w:val="00C732F0"/>
    <w:rsid w:val="00C74144"/>
    <w:rsid w:val="00C77F8A"/>
    <w:rsid w:val="00C811ED"/>
    <w:rsid w:val="00C8241F"/>
    <w:rsid w:val="00C82766"/>
    <w:rsid w:val="00C83082"/>
    <w:rsid w:val="00C83449"/>
    <w:rsid w:val="00C855BC"/>
    <w:rsid w:val="00C91ECD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1FAC"/>
    <w:rsid w:val="00CC3519"/>
    <w:rsid w:val="00CC3627"/>
    <w:rsid w:val="00CC41C9"/>
    <w:rsid w:val="00CC4628"/>
    <w:rsid w:val="00CC4A8F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D008AF"/>
    <w:rsid w:val="00D018E4"/>
    <w:rsid w:val="00D0306B"/>
    <w:rsid w:val="00D05552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6B7"/>
    <w:rsid w:val="00D26F6A"/>
    <w:rsid w:val="00D3238B"/>
    <w:rsid w:val="00D3664A"/>
    <w:rsid w:val="00D4029A"/>
    <w:rsid w:val="00D43A4C"/>
    <w:rsid w:val="00D43B3A"/>
    <w:rsid w:val="00D43F0F"/>
    <w:rsid w:val="00D4449B"/>
    <w:rsid w:val="00D448BC"/>
    <w:rsid w:val="00D469F5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AC8"/>
    <w:rsid w:val="00D75F6E"/>
    <w:rsid w:val="00D76029"/>
    <w:rsid w:val="00D77AB2"/>
    <w:rsid w:val="00D82391"/>
    <w:rsid w:val="00D83C13"/>
    <w:rsid w:val="00D8500E"/>
    <w:rsid w:val="00D86D67"/>
    <w:rsid w:val="00D87A1A"/>
    <w:rsid w:val="00D958D2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056E"/>
    <w:rsid w:val="00DD227A"/>
    <w:rsid w:val="00DD30DF"/>
    <w:rsid w:val="00DD371C"/>
    <w:rsid w:val="00DD3AFC"/>
    <w:rsid w:val="00DD5183"/>
    <w:rsid w:val="00DE1370"/>
    <w:rsid w:val="00DE3232"/>
    <w:rsid w:val="00DE41E9"/>
    <w:rsid w:val="00DE49F7"/>
    <w:rsid w:val="00DF0E70"/>
    <w:rsid w:val="00DF255F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2AD7"/>
    <w:rsid w:val="00E2411A"/>
    <w:rsid w:val="00E246D9"/>
    <w:rsid w:val="00E262D3"/>
    <w:rsid w:val="00E27FCF"/>
    <w:rsid w:val="00E301C1"/>
    <w:rsid w:val="00E3105E"/>
    <w:rsid w:val="00E31ADB"/>
    <w:rsid w:val="00E32568"/>
    <w:rsid w:val="00E33776"/>
    <w:rsid w:val="00E3441D"/>
    <w:rsid w:val="00E34670"/>
    <w:rsid w:val="00E37F37"/>
    <w:rsid w:val="00E40968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65C38"/>
    <w:rsid w:val="00E72A36"/>
    <w:rsid w:val="00E80372"/>
    <w:rsid w:val="00E8221E"/>
    <w:rsid w:val="00E823D9"/>
    <w:rsid w:val="00E8405E"/>
    <w:rsid w:val="00E86458"/>
    <w:rsid w:val="00E86E13"/>
    <w:rsid w:val="00E874DE"/>
    <w:rsid w:val="00E91472"/>
    <w:rsid w:val="00E94E5D"/>
    <w:rsid w:val="00E96149"/>
    <w:rsid w:val="00E97176"/>
    <w:rsid w:val="00EA13B9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16AC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286"/>
    <w:rsid w:val="00EF3862"/>
    <w:rsid w:val="00EF3E59"/>
    <w:rsid w:val="00EF5EB5"/>
    <w:rsid w:val="00EF73AC"/>
    <w:rsid w:val="00EF7F3A"/>
    <w:rsid w:val="00F011BB"/>
    <w:rsid w:val="00F078AE"/>
    <w:rsid w:val="00F09121"/>
    <w:rsid w:val="00F14F62"/>
    <w:rsid w:val="00F214CA"/>
    <w:rsid w:val="00F22572"/>
    <w:rsid w:val="00F22F8C"/>
    <w:rsid w:val="00F2692E"/>
    <w:rsid w:val="00F27118"/>
    <w:rsid w:val="00F30068"/>
    <w:rsid w:val="00F361D3"/>
    <w:rsid w:val="00F42F0A"/>
    <w:rsid w:val="00F45095"/>
    <w:rsid w:val="00F45509"/>
    <w:rsid w:val="00F474D4"/>
    <w:rsid w:val="00F47D03"/>
    <w:rsid w:val="00F5107E"/>
    <w:rsid w:val="00F51AD3"/>
    <w:rsid w:val="00F51B15"/>
    <w:rsid w:val="00F55ED2"/>
    <w:rsid w:val="00F560C4"/>
    <w:rsid w:val="00F5626E"/>
    <w:rsid w:val="00F57BB4"/>
    <w:rsid w:val="00F6029D"/>
    <w:rsid w:val="00F6057D"/>
    <w:rsid w:val="00F61C22"/>
    <w:rsid w:val="00F626EA"/>
    <w:rsid w:val="00F63AF0"/>
    <w:rsid w:val="00F65C90"/>
    <w:rsid w:val="00F72DA0"/>
    <w:rsid w:val="00F76BE2"/>
    <w:rsid w:val="00F81E1D"/>
    <w:rsid w:val="00F83AD0"/>
    <w:rsid w:val="00F909CF"/>
    <w:rsid w:val="00F94ACD"/>
    <w:rsid w:val="00F956EF"/>
    <w:rsid w:val="00FA01DB"/>
    <w:rsid w:val="00FA0815"/>
    <w:rsid w:val="00FA1390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50F1"/>
    <w:rsid w:val="00FC6ACA"/>
    <w:rsid w:val="00FD2112"/>
    <w:rsid w:val="00FD32FC"/>
    <w:rsid w:val="00FD4887"/>
    <w:rsid w:val="00FD6DAD"/>
    <w:rsid w:val="00FE23D7"/>
    <w:rsid w:val="00FE33D0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Props1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CC6E30-65EF-49EE-B03E-DF74214D4CE4}"/>
</file>

<file path=customXml/itemProps4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7805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Kohoutová</dc:creator>
  <cp:lastModifiedBy>Kohoutová Marketa</cp:lastModifiedBy>
  <cp:revision>2</cp:revision>
  <cp:lastPrinted>2021-02-25T10:34:00Z</cp:lastPrinted>
  <dcterms:created xsi:type="dcterms:W3CDTF">2025-10-14T06:36:00Z</dcterms:created>
  <dcterms:modified xsi:type="dcterms:W3CDTF">2025-10-14T06:36:00Z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